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pStyle w:val="Title"/>
        <w:jc w:val="left"/>
        <w:rPr>
          <w:rFonts w:ascii="Calibri" w:hAnsi="Calibri"/>
          <w:noProof/>
          <w:szCs w:val="28"/>
        </w:rPr>
      </w:pPr>
    </w:p>
    <w:p w:rsidR="003B753E" w:rsidRDefault="003B753E" w:rsidP="003B753E">
      <w:pPr>
        <w:pStyle w:val="Title"/>
        <w:jc w:val="left"/>
        <w:rPr>
          <w:rFonts w:ascii="Calibri" w:hAnsi="Calibri"/>
          <w:noProof/>
          <w:szCs w:val="28"/>
        </w:rPr>
      </w:pPr>
    </w:p>
    <w:p w:rsidR="003B753E" w:rsidRDefault="003B753E" w:rsidP="003B753E">
      <w:pPr>
        <w:pStyle w:val="Title"/>
        <w:jc w:val="left"/>
        <w:rPr>
          <w:rFonts w:ascii="Calibri" w:hAnsi="Calibri"/>
          <w:noProof/>
          <w:szCs w:val="28"/>
        </w:rPr>
      </w:pPr>
    </w:p>
    <w:p w:rsidR="003B753E" w:rsidRDefault="003B753E" w:rsidP="003B753E">
      <w:pPr>
        <w:pStyle w:val="Title"/>
        <w:jc w:val="left"/>
        <w:rPr>
          <w:rFonts w:ascii="Calibri" w:hAnsi="Calibri"/>
          <w:noProof/>
          <w:szCs w:val="28"/>
        </w:rPr>
      </w:pPr>
    </w:p>
    <w:p w:rsidR="003B753E" w:rsidRPr="00621FFA" w:rsidRDefault="003B753E" w:rsidP="003B753E">
      <w:pPr>
        <w:pStyle w:val="Title"/>
        <w:jc w:val="left"/>
        <w:rPr>
          <w:rFonts w:ascii="Calibri" w:hAnsi="Calibri"/>
          <w:noProof/>
          <w:szCs w:val="28"/>
        </w:rPr>
      </w:pPr>
    </w:p>
    <w:p w:rsidR="003B753E" w:rsidRDefault="003B753E" w:rsidP="003B753E">
      <w:pPr>
        <w:pStyle w:val="Title"/>
        <w:jc w:val="left"/>
        <w:rPr>
          <w:rFonts w:ascii="Calibri" w:hAnsi="Calibri"/>
          <w:noProof/>
          <w:szCs w:val="28"/>
          <w:lang w:val="en-US"/>
        </w:rPr>
      </w:pPr>
    </w:p>
    <w:p w:rsidR="003B753E" w:rsidRPr="00621FFA" w:rsidRDefault="003B753E" w:rsidP="003B753E">
      <w:pPr>
        <w:pStyle w:val="Header"/>
        <w:jc w:val="center"/>
        <w:rPr>
          <w:sz w:val="40"/>
          <w:szCs w:val="40"/>
          <w:lang w:val="fr-FR"/>
        </w:rPr>
      </w:pPr>
      <w:r w:rsidRPr="00621FFA">
        <w:rPr>
          <w:rFonts w:ascii="Arial" w:hAnsi="Arial" w:cs="Arial"/>
          <w:b/>
          <w:bCs/>
          <w:sz w:val="40"/>
          <w:szCs w:val="40"/>
          <w:lang w:val="fr-FR"/>
        </w:rPr>
        <w:t>CMC56</w:t>
      </w:r>
      <w:r w:rsidRPr="00621FFA">
        <w:rPr>
          <w:rFonts w:ascii="Arial" w:hAnsi="Arial" w:cs="Arial"/>
          <w:sz w:val="40"/>
          <w:szCs w:val="40"/>
          <w:lang w:val="fr-FR"/>
        </w:rPr>
        <w:t xml:space="preserve">, Doc 5, </w:t>
      </w:r>
      <w:r w:rsidRPr="00621FFA">
        <w:rPr>
          <w:rFonts w:ascii="Arial" w:hAnsi="Arial" w:cs="Arial"/>
          <w:b/>
          <w:sz w:val="40"/>
          <w:szCs w:val="40"/>
          <w:lang w:val="fr-FR"/>
        </w:rPr>
        <w:t>ANNEX II</w:t>
      </w:r>
      <w:bookmarkStart w:id="0" w:name="_GoBack"/>
      <w:bookmarkEnd w:id="0"/>
    </w:p>
    <w:p w:rsidR="003B753E" w:rsidRPr="00621FFA" w:rsidRDefault="003B753E" w:rsidP="003B753E">
      <w:pPr>
        <w:pStyle w:val="Title"/>
        <w:rPr>
          <w:rFonts w:ascii="Calibri" w:hAnsi="Calibri"/>
          <w:noProof/>
          <w:sz w:val="40"/>
          <w:szCs w:val="40"/>
          <w:lang w:val="en-US"/>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pPr>
    </w:p>
    <w:p w:rsidR="003B753E" w:rsidRDefault="003B753E" w:rsidP="003B753E">
      <w:pPr>
        <w:spacing w:line="312" w:lineRule="auto"/>
        <w:jc w:val="both"/>
        <w:rPr>
          <w:b/>
          <w:sz w:val="28"/>
          <w:szCs w:val="24"/>
        </w:rPr>
        <w:sectPr w:rsidR="003B753E" w:rsidSect="00CD0650">
          <w:pgSz w:w="12240" w:h="15840" w:code="1"/>
          <w:pgMar w:top="629" w:right="1440" w:bottom="794" w:left="1440" w:header="624" w:footer="567" w:gutter="0"/>
          <w:cols w:space="720"/>
          <w:docGrid w:linePitch="360"/>
        </w:sectPr>
      </w:pPr>
    </w:p>
    <w:p w:rsidR="00ED1CF2" w:rsidRDefault="00ED1CF2" w:rsidP="005617A1">
      <w:pPr>
        <w:spacing w:line="312" w:lineRule="auto"/>
        <w:jc w:val="center"/>
        <w:rPr>
          <w:b/>
          <w:sz w:val="28"/>
          <w:szCs w:val="24"/>
        </w:rPr>
      </w:pPr>
    </w:p>
    <w:p w:rsidR="00ED1CF2" w:rsidRPr="00ED1CF2" w:rsidRDefault="00ED1CF2" w:rsidP="005617A1">
      <w:pPr>
        <w:spacing w:line="312" w:lineRule="auto"/>
        <w:jc w:val="center"/>
        <w:rPr>
          <w:b/>
          <w:sz w:val="40"/>
          <w:szCs w:val="24"/>
        </w:rPr>
      </w:pPr>
      <w:r w:rsidRPr="00ED1CF2">
        <w:rPr>
          <w:b/>
          <w:sz w:val="40"/>
          <w:szCs w:val="24"/>
        </w:rPr>
        <w:t>PROPOSAL</w:t>
      </w:r>
    </w:p>
    <w:p w:rsidR="00ED1CF2" w:rsidRPr="002727DA" w:rsidRDefault="00ED1CF2" w:rsidP="005617A1">
      <w:pPr>
        <w:spacing w:line="312" w:lineRule="auto"/>
        <w:jc w:val="center"/>
        <w:rPr>
          <w:b/>
          <w:sz w:val="2"/>
          <w:szCs w:val="24"/>
        </w:rPr>
      </w:pPr>
    </w:p>
    <w:p w:rsidR="005617A1" w:rsidRDefault="005617A1" w:rsidP="005617A1">
      <w:pPr>
        <w:spacing w:line="312" w:lineRule="auto"/>
        <w:jc w:val="center"/>
        <w:rPr>
          <w:b/>
          <w:sz w:val="28"/>
          <w:szCs w:val="24"/>
        </w:rPr>
      </w:pPr>
      <w:r w:rsidRPr="002F3DB2">
        <w:rPr>
          <w:b/>
          <w:sz w:val="28"/>
          <w:szCs w:val="24"/>
        </w:rPr>
        <w:t xml:space="preserve">FINANCIAL </w:t>
      </w:r>
      <w:r w:rsidR="00ED1CF2">
        <w:rPr>
          <w:b/>
          <w:sz w:val="28"/>
          <w:szCs w:val="24"/>
        </w:rPr>
        <w:t xml:space="preserve">OPTIONS </w:t>
      </w:r>
      <w:r w:rsidRPr="002F3DB2">
        <w:rPr>
          <w:b/>
          <w:sz w:val="28"/>
          <w:szCs w:val="24"/>
        </w:rPr>
        <w:t xml:space="preserve">FOR </w:t>
      </w:r>
    </w:p>
    <w:p w:rsidR="005617A1" w:rsidRPr="002F3DB2" w:rsidRDefault="005617A1" w:rsidP="005617A1">
      <w:pPr>
        <w:spacing w:line="312" w:lineRule="auto"/>
        <w:jc w:val="center"/>
        <w:rPr>
          <w:b/>
          <w:sz w:val="28"/>
          <w:szCs w:val="24"/>
        </w:rPr>
      </w:pPr>
      <w:r>
        <w:rPr>
          <w:b/>
          <w:sz w:val="28"/>
          <w:szCs w:val="24"/>
        </w:rPr>
        <w:t xml:space="preserve">CARIBBEAN COMMUNITY </w:t>
      </w:r>
      <w:r w:rsidRPr="002F3DB2">
        <w:rPr>
          <w:b/>
          <w:sz w:val="28"/>
          <w:szCs w:val="24"/>
        </w:rPr>
        <w:t>ADMINSITRATIVE TRIBUNAL</w:t>
      </w:r>
    </w:p>
    <w:p w:rsidR="005617A1" w:rsidRPr="002F3DB2" w:rsidRDefault="005617A1" w:rsidP="005617A1">
      <w:pPr>
        <w:pBdr>
          <w:bottom w:val="single" w:sz="12" w:space="1" w:color="auto"/>
        </w:pBdr>
        <w:spacing w:line="312" w:lineRule="auto"/>
        <w:jc w:val="center"/>
        <w:rPr>
          <w:b/>
          <w:sz w:val="24"/>
          <w:szCs w:val="24"/>
        </w:rPr>
      </w:pPr>
      <w:r w:rsidRPr="002F3DB2">
        <w:rPr>
          <w:b/>
          <w:sz w:val="24"/>
          <w:szCs w:val="24"/>
        </w:rPr>
        <w:t>Institutional Heads Meeting March 8, 2016</w:t>
      </w:r>
    </w:p>
    <w:p w:rsidR="005617A1" w:rsidRPr="002F3DB2" w:rsidRDefault="005617A1" w:rsidP="005617A1">
      <w:pPr>
        <w:spacing w:line="360" w:lineRule="auto"/>
        <w:jc w:val="both"/>
        <w:rPr>
          <w:sz w:val="6"/>
          <w:szCs w:val="24"/>
        </w:rPr>
      </w:pPr>
    </w:p>
    <w:p w:rsidR="005617A1" w:rsidRPr="00D8325E" w:rsidRDefault="005617A1" w:rsidP="005617A1">
      <w:pPr>
        <w:jc w:val="both"/>
        <w:rPr>
          <w:rFonts w:asciiTheme="minorHAnsi" w:hAnsiTheme="minorHAnsi"/>
          <w:sz w:val="28"/>
          <w:szCs w:val="24"/>
        </w:rPr>
      </w:pPr>
    </w:p>
    <w:p w:rsidR="005617A1" w:rsidRPr="002727DA" w:rsidRDefault="005617A1" w:rsidP="005617A1">
      <w:pPr>
        <w:jc w:val="both"/>
        <w:rPr>
          <w:rFonts w:asciiTheme="minorHAnsi" w:hAnsiTheme="minorHAnsi"/>
          <w:b/>
          <w:sz w:val="24"/>
          <w:szCs w:val="24"/>
        </w:rPr>
      </w:pPr>
      <w:r w:rsidRPr="002727DA">
        <w:rPr>
          <w:rFonts w:asciiTheme="minorHAnsi" w:hAnsiTheme="minorHAnsi"/>
          <w:b/>
          <w:sz w:val="24"/>
          <w:szCs w:val="24"/>
        </w:rPr>
        <w:t>BACKGROUND</w:t>
      </w:r>
    </w:p>
    <w:p w:rsidR="005617A1" w:rsidRPr="00D8325E" w:rsidRDefault="005617A1" w:rsidP="005617A1">
      <w:pPr>
        <w:jc w:val="both"/>
        <w:rPr>
          <w:rFonts w:asciiTheme="minorHAnsi" w:hAnsiTheme="minorHAnsi"/>
          <w:sz w:val="18"/>
          <w:szCs w:val="24"/>
        </w:rPr>
      </w:pPr>
    </w:p>
    <w:p w:rsidR="00ED1CF2" w:rsidRPr="002727DA" w:rsidRDefault="005617A1" w:rsidP="005617A1">
      <w:pPr>
        <w:jc w:val="both"/>
        <w:rPr>
          <w:rFonts w:asciiTheme="minorHAnsi" w:hAnsiTheme="minorHAnsi"/>
          <w:sz w:val="24"/>
          <w:szCs w:val="24"/>
        </w:rPr>
      </w:pPr>
      <w:r w:rsidRPr="002727DA">
        <w:rPr>
          <w:rFonts w:asciiTheme="minorHAnsi" w:hAnsiTheme="minorHAnsi"/>
          <w:sz w:val="24"/>
          <w:szCs w:val="24"/>
        </w:rPr>
        <w:t xml:space="preserve">The establishment of a Caribbean Community Administrative Tribunal (CCAT) will be recorded as a defining moment in the evolution and maturity of the Caribbean region. </w:t>
      </w:r>
    </w:p>
    <w:p w:rsidR="00ED1CF2" w:rsidRPr="004376A2" w:rsidRDefault="00ED1CF2" w:rsidP="005617A1">
      <w:pPr>
        <w:jc w:val="both"/>
        <w:rPr>
          <w:rFonts w:asciiTheme="minorHAnsi" w:hAnsiTheme="minorHAnsi"/>
          <w:sz w:val="16"/>
          <w:szCs w:val="24"/>
        </w:rPr>
      </w:pPr>
    </w:p>
    <w:p w:rsidR="00ED1CF2" w:rsidRPr="002727DA" w:rsidRDefault="00ED1CF2" w:rsidP="00ED1CF2">
      <w:pPr>
        <w:jc w:val="both"/>
        <w:rPr>
          <w:rFonts w:asciiTheme="minorHAnsi" w:hAnsiTheme="minorHAnsi"/>
          <w:sz w:val="24"/>
          <w:szCs w:val="24"/>
        </w:rPr>
      </w:pPr>
      <w:r w:rsidRPr="002727DA">
        <w:rPr>
          <w:rFonts w:asciiTheme="minorHAnsi" w:hAnsiTheme="minorHAnsi"/>
          <w:sz w:val="24"/>
          <w:szCs w:val="24"/>
        </w:rPr>
        <w:t xml:space="preserve">The success of the CARICOM family is contingent upon sustained and deliberate investment in its greatest asset: its human resources. The Caribbean Community comprise a significant number of employees; both permanent staff and contractual staff. In the ordinary course of events, employment disputes are bound to arise. There exists a troubling lacuna in the constituent instruments of the majority of CARICOM institutions in relation to the settlement of employment disputes. CARICOM institutions enjoy immunity </w:t>
      </w:r>
      <w:r w:rsidRPr="002727DA">
        <w:rPr>
          <w:rFonts w:asciiTheme="minorHAnsi" w:hAnsiTheme="minorHAnsi" w:cstheme="minorBidi"/>
          <w:sz w:val="24"/>
          <w:szCs w:val="24"/>
        </w:rPr>
        <w:t>from</w:t>
      </w:r>
      <w:r w:rsidRPr="002727DA">
        <w:rPr>
          <w:rFonts w:asciiTheme="minorHAnsi" w:hAnsiTheme="minorHAnsi"/>
          <w:sz w:val="24"/>
          <w:szCs w:val="24"/>
        </w:rPr>
        <w:t xml:space="preserve"> suit</w:t>
      </w:r>
      <w:r w:rsidR="004376A2">
        <w:rPr>
          <w:rFonts w:asciiTheme="minorHAnsi" w:hAnsiTheme="minorHAnsi"/>
          <w:sz w:val="24"/>
          <w:szCs w:val="24"/>
        </w:rPr>
        <w:t>, s</w:t>
      </w:r>
      <w:r w:rsidRPr="002727DA">
        <w:rPr>
          <w:rFonts w:asciiTheme="minorHAnsi" w:hAnsiTheme="minorHAnsi"/>
          <w:sz w:val="24"/>
          <w:szCs w:val="24"/>
        </w:rPr>
        <w:t xml:space="preserve">o that in the event of a staff dispute, there </w:t>
      </w:r>
      <w:r w:rsidR="004376A2">
        <w:rPr>
          <w:rFonts w:asciiTheme="minorHAnsi" w:hAnsiTheme="minorHAnsi"/>
          <w:sz w:val="24"/>
          <w:szCs w:val="24"/>
        </w:rPr>
        <w:t xml:space="preserve">is no </w:t>
      </w:r>
      <w:r w:rsidRPr="002727DA">
        <w:rPr>
          <w:rFonts w:asciiTheme="minorHAnsi" w:hAnsiTheme="minorHAnsi"/>
          <w:sz w:val="24"/>
          <w:szCs w:val="24"/>
        </w:rPr>
        <w:t>recourse to the domestic courts. The immunity granted to international organisations can become problematic</w:t>
      </w:r>
      <w:r w:rsidR="00753C00">
        <w:rPr>
          <w:rFonts w:asciiTheme="minorHAnsi" w:hAnsiTheme="minorHAnsi"/>
          <w:sz w:val="24"/>
          <w:szCs w:val="24"/>
        </w:rPr>
        <w:t>;</w:t>
      </w:r>
      <w:r w:rsidRPr="002727DA">
        <w:rPr>
          <w:rFonts w:asciiTheme="minorHAnsi" w:hAnsiTheme="minorHAnsi"/>
          <w:sz w:val="24"/>
          <w:szCs w:val="24"/>
        </w:rPr>
        <w:t xml:space="preserve"> by foreclosing the option of litigation </w:t>
      </w:r>
      <w:r w:rsidR="00753C00">
        <w:rPr>
          <w:rFonts w:asciiTheme="minorHAnsi" w:hAnsiTheme="minorHAnsi"/>
          <w:sz w:val="24"/>
          <w:szCs w:val="24"/>
        </w:rPr>
        <w:t>some courts have begun to question whether to uphold immunity</w:t>
      </w:r>
      <w:r w:rsidRPr="002727DA">
        <w:rPr>
          <w:rFonts w:asciiTheme="minorHAnsi" w:hAnsiTheme="minorHAnsi"/>
          <w:sz w:val="24"/>
          <w:szCs w:val="24"/>
        </w:rPr>
        <w:t xml:space="preserve">. </w:t>
      </w:r>
      <w:r w:rsidR="00753C00" w:rsidRPr="002727DA">
        <w:rPr>
          <w:rFonts w:asciiTheme="minorHAnsi" w:hAnsiTheme="minorHAnsi"/>
          <w:sz w:val="24"/>
          <w:szCs w:val="24"/>
        </w:rPr>
        <w:t>To allow organizational immunity to be invoked in the absence of a robust and independent administrative process to allow for the proper ventilation of employment disputes, runs counter to the tenets of the rule of law.</w:t>
      </w:r>
      <w:r w:rsidR="00753C00" w:rsidRPr="002727DA">
        <w:rPr>
          <w:rStyle w:val="FootnoteReference"/>
          <w:rFonts w:asciiTheme="minorHAnsi" w:hAnsiTheme="minorHAnsi"/>
          <w:sz w:val="24"/>
          <w:szCs w:val="24"/>
        </w:rPr>
        <w:footnoteReference w:id="1"/>
      </w:r>
      <w:r w:rsidR="00753C00" w:rsidRPr="002727DA">
        <w:rPr>
          <w:rFonts w:asciiTheme="minorHAnsi" w:hAnsiTheme="minorHAnsi"/>
          <w:sz w:val="24"/>
          <w:szCs w:val="24"/>
        </w:rPr>
        <w:t xml:space="preserve"> </w:t>
      </w:r>
      <w:r w:rsidRPr="002727DA">
        <w:rPr>
          <w:rFonts w:asciiTheme="minorHAnsi" w:hAnsiTheme="minorHAnsi"/>
          <w:sz w:val="24"/>
          <w:szCs w:val="24"/>
        </w:rPr>
        <w:t>As a result most international institutions have established administrative tribunals to provide an avenue to resolve such matters. One of the most successful of these is the International Labour Organisation Administrative Tribunal (ILOAT) to which sixty international bodies have recourse.</w:t>
      </w:r>
    </w:p>
    <w:p w:rsidR="00ED1CF2" w:rsidRPr="00D8325E" w:rsidRDefault="00ED1CF2" w:rsidP="005617A1">
      <w:pPr>
        <w:jc w:val="both"/>
        <w:rPr>
          <w:rFonts w:asciiTheme="minorHAnsi" w:hAnsiTheme="minorHAnsi"/>
          <w:sz w:val="20"/>
          <w:szCs w:val="24"/>
        </w:rPr>
      </w:pPr>
    </w:p>
    <w:p w:rsidR="005617A1" w:rsidRPr="002727DA" w:rsidRDefault="005617A1" w:rsidP="005617A1">
      <w:pPr>
        <w:jc w:val="both"/>
        <w:rPr>
          <w:rFonts w:asciiTheme="minorHAnsi" w:hAnsiTheme="minorHAnsi"/>
          <w:sz w:val="24"/>
          <w:szCs w:val="24"/>
        </w:rPr>
      </w:pPr>
      <w:r w:rsidRPr="002727DA">
        <w:rPr>
          <w:rFonts w:asciiTheme="minorHAnsi" w:hAnsiTheme="minorHAnsi"/>
          <w:sz w:val="24"/>
          <w:szCs w:val="24"/>
        </w:rPr>
        <w:t xml:space="preserve">The idea </w:t>
      </w:r>
      <w:r w:rsidR="00ED1CF2" w:rsidRPr="002727DA">
        <w:rPr>
          <w:rFonts w:asciiTheme="minorHAnsi" w:hAnsiTheme="minorHAnsi"/>
          <w:sz w:val="24"/>
          <w:szCs w:val="24"/>
        </w:rPr>
        <w:t xml:space="preserve">for the CCAT </w:t>
      </w:r>
      <w:r w:rsidRPr="002727DA">
        <w:rPr>
          <w:rFonts w:asciiTheme="minorHAnsi" w:hAnsiTheme="minorHAnsi"/>
          <w:sz w:val="24"/>
          <w:szCs w:val="24"/>
        </w:rPr>
        <w:t xml:space="preserve">has been mooted at various junctures in our region’s development. Key markers in the evolution of this idea include the Caribbean Law Institute Centre Report produced by Professors Winston Anderson and Ralph Carnegie, under the auspices of CARICAD; the draft statute of the Caribbean Community Administrative Tribunal, as produced by the CARICOM Secretariat for the Meeting of Officials of Institutions and Associate Institutions held in Bridgetown, Barbados on March 22- 24, 2010; and the documented  Review of the draft statute as prepared by Mrs. Comtet-Simpson International Labour Law Specialist, ILO Representative. </w:t>
      </w:r>
    </w:p>
    <w:p w:rsidR="00ED1CF2" w:rsidRPr="00D8325E" w:rsidRDefault="00ED1CF2" w:rsidP="005617A1">
      <w:pPr>
        <w:jc w:val="both"/>
        <w:rPr>
          <w:rFonts w:asciiTheme="minorHAnsi" w:hAnsiTheme="minorHAnsi"/>
          <w:szCs w:val="24"/>
        </w:rPr>
      </w:pPr>
    </w:p>
    <w:p w:rsidR="00ED1CF2" w:rsidRPr="002727DA" w:rsidRDefault="00ED1CF2" w:rsidP="002727DA">
      <w:pPr>
        <w:jc w:val="both"/>
        <w:rPr>
          <w:rFonts w:asciiTheme="minorHAnsi" w:hAnsiTheme="minorHAnsi"/>
          <w:sz w:val="24"/>
          <w:szCs w:val="24"/>
        </w:rPr>
      </w:pPr>
      <w:r w:rsidRPr="002727DA">
        <w:rPr>
          <w:rFonts w:asciiTheme="minorHAnsi" w:hAnsiTheme="minorHAnsi"/>
          <w:sz w:val="24"/>
          <w:szCs w:val="24"/>
        </w:rPr>
        <w:t xml:space="preserve">It is envisioned that the establishment of a Caribbean Administrative Tribunal would serve to remedy the situation by providing an avenue for the ventilation of employment related disputes involving Staff of eligible CARICOM institutions. This process at the CCAT will be only the exercise of a reviewing function in the area of employment disputes. Thus the jurisdiction will only become exercisable where the parties have first had recourse to the internal grievance processes and the dispute remains unresolved. </w:t>
      </w:r>
    </w:p>
    <w:p w:rsidR="00ED1CF2" w:rsidRPr="002727DA" w:rsidRDefault="00ED1CF2" w:rsidP="005617A1">
      <w:pPr>
        <w:rPr>
          <w:rFonts w:asciiTheme="minorHAnsi" w:hAnsiTheme="minorHAnsi"/>
          <w:b/>
          <w:sz w:val="24"/>
          <w:szCs w:val="24"/>
          <w:lang w:val="en-TT"/>
        </w:rPr>
      </w:pPr>
    </w:p>
    <w:p w:rsidR="00ED1CF2" w:rsidRPr="002727DA" w:rsidRDefault="00ED1CF2" w:rsidP="005617A1">
      <w:pPr>
        <w:rPr>
          <w:rFonts w:asciiTheme="minorHAnsi" w:hAnsiTheme="minorHAnsi"/>
          <w:b/>
          <w:sz w:val="24"/>
          <w:szCs w:val="24"/>
          <w:lang w:val="en-TT"/>
        </w:rPr>
      </w:pPr>
    </w:p>
    <w:p w:rsidR="00D8325E" w:rsidRDefault="00D8325E" w:rsidP="005617A1">
      <w:pPr>
        <w:rPr>
          <w:rFonts w:asciiTheme="minorHAnsi" w:hAnsiTheme="minorHAnsi"/>
          <w:b/>
          <w:sz w:val="24"/>
          <w:szCs w:val="24"/>
          <w:lang w:val="en-TT"/>
        </w:rPr>
      </w:pPr>
    </w:p>
    <w:p w:rsidR="001B6E30" w:rsidRDefault="001B6E30" w:rsidP="005617A1">
      <w:pPr>
        <w:rPr>
          <w:rFonts w:asciiTheme="minorHAnsi" w:hAnsiTheme="minorHAnsi"/>
          <w:b/>
          <w:sz w:val="24"/>
          <w:szCs w:val="24"/>
          <w:lang w:val="en-TT"/>
        </w:rPr>
      </w:pPr>
    </w:p>
    <w:p w:rsidR="00AC4133" w:rsidRDefault="00AC4133" w:rsidP="005617A1">
      <w:pPr>
        <w:rPr>
          <w:rFonts w:asciiTheme="minorHAnsi" w:hAnsiTheme="minorHAnsi"/>
          <w:b/>
          <w:sz w:val="24"/>
          <w:szCs w:val="24"/>
          <w:lang w:val="en-TT"/>
        </w:rPr>
      </w:pPr>
    </w:p>
    <w:p w:rsidR="005617A1" w:rsidRPr="002727DA" w:rsidRDefault="005617A1" w:rsidP="005617A1">
      <w:pPr>
        <w:rPr>
          <w:rFonts w:asciiTheme="minorHAnsi" w:hAnsiTheme="minorHAnsi"/>
          <w:b/>
          <w:sz w:val="24"/>
          <w:szCs w:val="24"/>
          <w:lang w:val="en-TT"/>
        </w:rPr>
      </w:pPr>
      <w:r w:rsidRPr="002727DA">
        <w:rPr>
          <w:rFonts w:asciiTheme="minorHAnsi" w:hAnsiTheme="minorHAnsi"/>
          <w:b/>
          <w:sz w:val="24"/>
          <w:szCs w:val="24"/>
          <w:lang w:val="en-TT"/>
        </w:rPr>
        <w:t>BENEFITS</w:t>
      </w:r>
    </w:p>
    <w:p w:rsidR="005617A1" w:rsidRPr="00514F74" w:rsidRDefault="005617A1" w:rsidP="00514F74">
      <w:pPr>
        <w:jc w:val="both"/>
        <w:rPr>
          <w:rFonts w:asciiTheme="minorHAnsi" w:hAnsiTheme="minorHAnsi"/>
          <w:sz w:val="24"/>
          <w:szCs w:val="24"/>
        </w:rPr>
      </w:pPr>
      <w:r w:rsidRPr="00514F74">
        <w:rPr>
          <w:rFonts w:asciiTheme="minorHAnsi" w:hAnsiTheme="minorHAnsi"/>
          <w:sz w:val="24"/>
          <w:szCs w:val="24"/>
        </w:rPr>
        <w:t xml:space="preserve">Chief among the benefits </w:t>
      </w:r>
      <w:r w:rsidR="00C06A75">
        <w:rPr>
          <w:rFonts w:asciiTheme="minorHAnsi" w:hAnsiTheme="minorHAnsi"/>
          <w:sz w:val="24"/>
          <w:szCs w:val="24"/>
        </w:rPr>
        <w:t>o</w:t>
      </w:r>
      <w:r w:rsidRPr="00514F74">
        <w:rPr>
          <w:rFonts w:asciiTheme="minorHAnsi" w:hAnsiTheme="minorHAnsi"/>
          <w:sz w:val="24"/>
          <w:szCs w:val="24"/>
        </w:rPr>
        <w:t xml:space="preserve">f the CCAT will be the provision of a cost-effective and systematic method of dispute resolution in the event of </w:t>
      </w:r>
      <w:r w:rsidR="00AC4133">
        <w:rPr>
          <w:rFonts w:asciiTheme="minorHAnsi" w:hAnsiTheme="minorHAnsi"/>
          <w:sz w:val="24"/>
          <w:szCs w:val="24"/>
        </w:rPr>
        <w:t xml:space="preserve">a </w:t>
      </w:r>
      <w:r w:rsidRPr="00514F74">
        <w:rPr>
          <w:rFonts w:asciiTheme="minorHAnsi" w:hAnsiTheme="minorHAnsi"/>
          <w:sz w:val="24"/>
          <w:szCs w:val="24"/>
        </w:rPr>
        <w:t xml:space="preserve">dispute between employer and employee.  </w:t>
      </w:r>
    </w:p>
    <w:p w:rsidR="005617A1" w:rsidRPr="00514F74" w:rsidRDefault="005617A1" w:rsidP="00514F74">
      <w:pPr>
        <w:jc w:val="both"/>
        <w:rPr>
          <w:rFonts w:asciiTheme="minorHAnsi" w:hAnsiTheme="minorHAnsi"/>
          <w:sz w:val="16"/>
          <w:szCs w:val="24"/>
        </w:rPr>
      </w:pPr>
    </w:p>
    <w:p w:rsidR="005617A1" w:rsidRPr="00514F74" w:rsidRDefault="005617A1" w:rsidP="00514F74">
      <w:pPr>
        <w:jc w:val="both"/>
        <w:rPr>
          <w:rFonts w:asciiTheme="minorHAnsi" w:hAnsiTheme="minorHAnsi"/>
          <w:sz w:val="24"/>
          <w:szCs w:val="24"/>
        </w:rPr>
      </w:pPr>
      <w:r w:rsidRPr="00514F74">
        <w:rPr>
          <w:rFonts w:asciiTheme="minorHAnsi" w:hAnsiTheme="minorHAnsi"/>
          <w:sz w:val="24"/>
          <w:szCs w:val="24"/>
        </w:rPr>
        <w:t xml:space="preserve">This will also serve to improve the efficiency, productivity and the industrial relations climate within all CARICOM institutions; all of which can only redound </w:t>
      </w:r>
      <w:r w:rsidR="00753C00" w:rsidRPr="00514F74">
        <w:rPr>
          <w:rFonts w:asciiTheme="minorHAnsi" w:hAnsiTheme="minorHAnsi"/>
          <w:sz w:val="24"/>
          <w:szCs w:val="24"/>
        </w:rPr>
        <w:t>to</w:t>
      </w:r>
      <w:r w:rsidRPr="00514F74">
        <w:rPr>
          <w:rFonts w:asciiTheme="minorHAnsi" w:hAnsiTheme="minorHAnsi"/>
          <w:sz w:val="24"/>
          <w:szCs w:val="24"/>
        </w:rPr>
        <w:t xml:space="preserve"> the benefit of both the employer and the employee. </w:t>
      </w:r>
    </w:p>
    <w:p w:rsidR="005617A1" w:rsidRPr="00514F74" w:rsidRDefault="005617A1" w:rsidP="00514F74">
      <w:pPr>
        <w:jc w:val="both"/>
        <w:rPr>
          <w:rFonts w:asciiTheme="minorHAnsi" w:hAnsiTheme="minorHAnsi"/>
          <w:sz w:val="18"/>
          <w:szCs w:val="24"/>
        </w:rPr>
      </w:pPr>
    </w:p>
    <w:p w:rsidR="005617A1" w:rsidRPr="00514F74" w:rsidRDefault="005617A1" w:rsidP="00514F74">
      <w:pPr>
        <w:jc w:val="both"/>
        <w:rPr>
          <w:rFonts w:asciiTheme="minorHAnsi" w:hAnsiTheme="minorHAnsi"/>
          <w:sz w:val="24"/>
          <w:szCs w:val="24"/>
        </w:rPr>
      </w:pPr>
      <w:r w:rsidRPr="00514F74">
        <w:rPr>
          <w:rFonts w:asciiTheme="minorHAnsi" w:hAnsiTheme="minorHAnsi"/>
          <w:sz w:val="24"/>
          <w:szCs w:val="24"/>
        </w:rPr>
        <w:t xml:space="preserve">The CCAT will also improve access to justice by providing a structured and sustainable mechanism to ventilate employment disputes. This is urgently required given that litigation in the domestic sphere is problematic in light of the immunity from suit granted to CARICOM institutions. </w:t>
      </w:r>
    </w:p>
    <w:p w:rsidR="005617A1" w:rsidRPr="00514F74" w:rsidRDefault="005617A1" w:rsidP="00514F74">
      <w:pPr>
        <w:jc w:val="both"/>
        <w:rPr>
          <w:rFonts w:asciiTheme="minorHAnsi" w:hAnsiTheme="minorHAnsi"/>
          <w:sz w:val="14"/>
          <w:szCs w:val="24"/>
        </w:rPr>
      </w:pPr>
    </w:p>
    <w:p w:rsidR="005617A1" w:rsidRPr="00514F74" w:rsidRDefault="005617A1" w:rsidP="00514F74">
      <w:pPr>
        <w:jc w:val="both"/>
        <w:rPr>
          <w:rFonts w:asciiTheme="minorHAnsi" w:hAnsiTheme="minorHAnsi"/>
          <w:sz w:val="24"/>
          <w:szCs w:val="24"/>
        </w:rPr>
      </w:pPr>
      <w:r w:rsidRPr="00514F74">
        <w:rPr>
          <w:rFonts w:asciiTheme="minorHAnsi" w:hAnsiTheme="minorHAnsi"/>
          <w:sz w:val="24"/>
          <w:szCs w:val="24"/>
        </w:rPr>
        <w:t xml:space="preserve">In relation to the Caribbean Court of Justice and the Regional Judicial and Legal Services Commission, in particular, the establishment of the CCAT will further the fulfilment of the obligation imposed by Article XII of the Protocol on the Status, Privileges and Immunities of the Caribbean Court of Justice and the Regional Judicial and Legal Services Commission which requires the President of the Court to “make appropriate provision for the settlement of disputes arising out of contracts or other disputes of a private law character to which the Court or the Commission is a party.”  </w:t>
      </w:r>
    </w:p>
    <w:p w:rsidR="005617A1" w:rsidRPr="00514F74" w:rsidRDefault="005617A1" w:rsidP="00514F74">
      <w:pPr>
        <w:jc w:val="both"/>
        <w:rPr>
          <w:rFonts w:asciiTheme="minorHAnsi" w:hAnsiTheme="minorHAnsi"/>
          <w:sz w:val="18"/>
          <w:szCs w:val="24"/>
        </w:rPr>
      </w:pPr>
    </w:p>
    <w:p w:rsidR="002727DA" w:rsidRPr="00514F74" w:rsidRDefault="002727DA" w:rsidP="00514F74">
      <w:pPr>
        <w:jc w:val="both"/>
        <w:rPr>
          <w:rFonts w:asciiTheme="minorHAnsi" w:hAnsiTheme="minorHAnsi"/>
          <w:sz w:val="24"/>
          <w:szCs w:val="24"/>
        </w:rPr>
      </w:pPr>
      <w:r w:rsidRPr="00514F74">
        <w:rPr>
          <w:rFonts w:asciiTheme="minorHAnsi" w:hAnsiTheme="minorHAnsi"/>
          <w:sz w:val="24"/>
          <w:szCs w:val="24"/>
        </w:rPr>
        <w:t xml:space="preserve">The CCAT will ensure that all employment related disputes within CARICOM institutions are subject to review by an independent and impartial adjudicative body which is guided by the tenets of good industrial relations practice.  </w:t>
      </w:r>
    </w:p>
    <w:p w:rsidR="002727DA" w:rsidRPr="00514F74" w:rsidRDefault="002727DA" w:rsidP="00514F74">
      <w:pPr>
        <w:jc w:val="both"/>
        <w:rPr>
          <w:rFonts w:asciiTheme="minorHAnsi" w:hAnsiTheme="minorHAnsi"/>
          <w:sz w:val="16"/>
          <w:szCs w:val="24"/>
        </w:rPr>
      </w:pPr>
    </w:p>
    <w:p w:rsidR="005617A1" w:rsidRPr="00514F74" w:rsidRDefault="005617A1" w:rsidP="00514F74">
      <w:pPr>
        <w:jc w:val="both"/>
        <w:rPr>
          <w:rFonts w:asciiTheme="minorHAnsi" w:hAnsiTheme="minorHAnsi"/>
          <w:sz w:val="24"/>
          <w:szCs w:val="24"/>
        </w:rPr>
      </w:pPr>
      <w:r w:rsidRPr="00514F74">
        <w:rPr>
          <w:rFonts w:asciiTheme="minorHAnsi" w:hAnsiTheme="minorHAnsi"/>
          <w:sz w:val="24"/>
          <w:szCs w:val="24"/>
        </w:rPr>
        <w:t>All of the foregoing will have a concomitant effect in upholding, preserving, enhancing and defend</w:t>
      </w:r>
      <w:r w:rsidR="00AC4133">
        <w:rPr>
          <w:rFonts w:asciiTheme="minorHAnsi" w:hAnsiTheme="minorHAnsi"/>
          <w:sz w:val="24"/>
          <w:szCs w:val="24"/>
        </w:rPr>
        <w:t>ing the rule of law within the R</w:t>
      </w:r>
      <w:r w:rsidRPr="00514F74">
        <w:rPr>
          <w:rFonts w:asciiTheme="minorHAnsi" w:hAnsiTheme="minorHAnsi"/>
          <w:sz w:val="24"/>
          <w:szCs w:val="24"/>
        </w:rPr>
        <w:t xml:space="preserve">egion. </w:t>
      </w:r>
    </w:p>
    <w:p w:rsidR="005617A1" w:rsidRPr="002727DA" w:rsidRDefault="005617A1" w:rsidP="002727DA">
      <w:pPr>
        <w:spacing w:line="276" w:lineRule="auto"/>
        <w:jc w:val="both"/>
        <w:rPr>
          <w:rFonts w:asciiTheme="minorHAnsi" w:hAnsiTheme="minorHAnsi"/>
          <w:sz w:val="24"/>
          <w:szCs w:val="24"/>
          <w:lang w:val="en-TT"/>
        </w:rPr>
      </w:pPr>
    </w:p>
    <w:p w:rsidR="0069272E" w:rsidRPr="002727DA" w:rsidRDefault="00ED1CF2" w:rsidP="00DA3B30">
      <w:pPr>
        <w:rPr>
          <w:rFonts w:asciiTheme="minorHAnsi" w:hAnsiTheme="minorHAnsi"/>
          <w:b/>
          <w:bCs/>
          <w:sz w:val="24"/>
          <w:szCs w:val="24"/>
          <w:lang w:eastAsia="en-US"/>
        </w:rPr>
      </w:pPr>
      <w:r w:rsidRPr="002727DA">
        <w:rPr>
          <w:rFonts w:asciiTheme="minorHAnsi" w:hAnsiTheme="minorHAnsi"/>
          <w:b/>
          <w:bCs/>
          <w:sz w:val="24"/>
          <w:szCs w:val="24"/>
          <w:lang w:eastAsia="en-US"/>
        </w:rPr>
        <w:t>FINANCIAL PROPOSAL</w:t>
      </w:r>
    </w:p>
    <w:p w:rsidR="0069272E" w:rsidRPr="005C6E66" w:rsidRDefault="0069272E" w:rsidP="00DA3B30">
      <w:pPr>
        <w:rPr>
          <w:rFonts w:asciiTheme="minorHAnsi" w:hAnsiTheme="minorHAnsi"/>
          <w:b/>
          <w:bCs/>
          <w:sz w:val="4"/>
          <w:szCs w:val="24"/>
          <w:lang w:eastAsia="en-US"/>
        </w:rPr>
      </w:pPr>
    </w:p>
    <w:p w:rsidR="00DA3B30" w:rsidRPr="002727DA" w:rsidRDefault="00ED1CF2" w:rsidP="00DA3B30">
      <w:pPr>
        <w:rPr>
          <w:rFonts w:asciiTheme="minorHAnsi" w:hAnsiTheme="minorHAnsi"/>
          <w:b/>
          <w:bCs/>
          <w:color w:val="1F497D"/>
          <w:sz w:val="24"/>
          <w:szCs w:val="24"/>
          <w:lang w:eastAsia="en-US"/>
        </w:rPr>
      </w:pPr>
      <w:r w:rsidRPr="002727DA">
        <w:rPr>
          <w:rFonts w:asciiTheme="minorHAnsi" w:hAnsiTheme="minorHAnsi"/>
          <w:b/>
          <w:bCs/>
          <w:color w:val="1F497D"/>
          <w:sz w:val="24"/>
          <w:szCs w:val="24"/>
          <w:lang w:eastAsia="en-US"/>
        </w:rPr>
        <w:t>Assumptions – Operating Budget</w:t>
      </w:r>
    </w:p>
    <w:p w:rsidR="00031E71" w:rsidRDefault="00031E71" w:rsidP="00127A60">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t xml:space="preserve">The total estimated five-year costs for the tribunal is </w:t>
      </w:r>
      <w:r w:rsidRPr="00031E71">
        <w:rPr>
          <w:rFonts w:asciiTheme="minorHAnsi" w:hAnsiTheme="minorHAnsi"/>
          <w:b/>
          <w:sz w:val="24"/>
          <w:szCs w:val="24"/>
          <w:lang w:val="en-TT"/>
        </w:rPr>
        <w:t>US$</w:t>
      </w:r>
      <w:r w:rsidR="005C6E66">
        <w:rPr>
          <w:rFonts w:asciiTheme="minorHAnsi" w:hAnsiTheme="minorHAnsi"/>
          <w:b/>
          <w:sz w:val="24"/>
          <w:szCs w:val="24"/>
          <w:lang w:val="en-TT"/>
        </w:rPr>
        <w:t>187,730</w:t>
      </w:r>
      <w:r w:rsidRPr="00031E71">
        <w:rPr>
          <w:rFonts w:asciiTheme="minorHAnsi" w:hAnsiTheme="minorHAnsi"/>
          <w:b/>
          <w:sz w:val="24"/>
          <w:szCs w:val="24"/>
          <w:lang w:val="en-TT"/>
        </w:rPr>
        <w:t>.00</w:t>
      </w:r>
      <w:r>
        <w:rPr>
          <w:rFonts w:asciiTheme="minorHAnsi" w:hAnsiTheme="minorHAnsi"/>
          <w:sz w:val="24"/>
          <w:szCs w:val="24"/>
          <w:lang w:val="en-TT"/>
        </w:rPr>
        <w:t xml:space="preserve"> which comprises US$</w:t>
      </w:r>
      <w:r w:rsidR="005C6E66">
        <w:rPr>
          <w:rFonts w:asciiTheme="minorHAnsi" w:hAnsiTheme="minorHAnsi"/>
          <w:sz w:val="24"/>
          <w:szCs w:val="24"/>
          <w:lang w:val="en-TT"/>
        </w:rPr>
        <w:t>81,600</w:t>
      </w:r>
      <w:r>
        <w:rPr>
          <w:rFonts w:asciiTheme="minorHAnsi" w:hAnsiTheme="minorHAnsi"/>
          <w:sz w:val="24"/>
          <w:szCs w:val="24"/>
          <w:lang w:val="en-TT"/>
        </w:rPr>
        <w:t xml:space="preserve"> as Variable Costs (VC) and US$</w:t>
      </w:r>
      <w:r w:rsidR="005C6E66">
        <w:rPr>
          <w:rFonts w:asciiTheme="minorHAnsi" w:hAnsiTheme="minorHAnsi"/>
          <w:sz w:val="24"/>
          <w:szCs w:val="24"/>
          <w:lang w:val="en-TT"/>
        </w:rPr>
        <w:t>48,640</w:t>
      </w:r>
      <w:r>
        <w:rPr>
          <w:rFonts w:asciiTheme="minorHAnsi" w:hAnsiTheme="minorHAnsi"/>
          <w:sz w:val="24"/>
          <w:szCs w:val="24"/>
          <w:lang w:val="en-TT"/>
        </w:rPr>
        <w:t xml:space="preserve">.00 </w:t>
      </w:r>
      <w:r w:rsidR="005C6E66">
        <w:rPr>
          <w:rFonts w:asciiTheme="minorHAnsi" w:hAnsiTheme="minorHAnsi"/>
          <w:sz w:val="24"/>
          <w:szCs w:val="24"/>
          <w:lang w:val="en-TT"/>
        </w:rPr>
        <w:t>as</w:t>
      </w:r>
      <w:r>
        <w:rPr>
          <w:rFonts w:asciiTheme="minorHAnsi" w:hAnsiTheme="minorHAnsi"/>
          <w:sz w:val="24"/>
          <w:szCs w:val="24"/>
          <w:lang w:val="en-TT"/>
        </w:rPr>
        <w:t xml:space="preserve"> </w:t>
      </w:r>
      <w:r w:rsidR="00AC4133">
        <w:rPr>
          <w:rFonts w:asciiTheme="minorHAnsi" w:hAnsiTheme="minorHAnsi"/>
          <w:sz w:val="24"/>
          <w:szCs w:val="24"/>
          <w:lang w:val="en-TT"/>
        </w:rPr>
        <w:t xml:space="preserve">recurring </w:t>
      </w:r>
      <w:r>
        <w:rPr>
          <w:rFonts w:asciiTheme="minorHAnsi" w:hAnsiTheme="minorHAnsi"/>
          <w:sz w:val="24"/>
          <w:szCs w:val="24"/>
          <w:lang w:val="en-TT"/>
        </w:rPr>
        <w:t>costs (RC).</w:t>
      </w:r>
    </w:p>
    <w:p w:rsidR="00DA3B30" w:rsidRPr="002727DA" w:rsidRDefault="00DA3B30" w:rsidP="00127A60">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The CCAT will be housed at the CCJ. This will allow for costs savings in staff</w:t>
      </w:r>
      <w:r w:rsidR="00ED1CF2" w:rsidRPr="002727DA">
        <w:rPr>
          <w:rFonts w:asciiTheme="minorHAnsi" w:hAnsiTheme="minorHAnsi"/>
          <w:sz w:val="24"/>
          <w:szCs w:val="24"/>
          <w:lang w:val="en-TT"/>
        </w:rPr>
        <w:t xml:space="preserve"> and </w:t>
      </w:r>
      <w:r w:rsidRPr="002727DA">
        <w:rPr>
          <w:rFonts w:asciiTheme="minorHAnsi" w:hAnsiTheme="minorHAnsi"/>
          <w:sz w:val="24"/>
          <w:szCs w:val="24"/>
          <w:lang w:val="en-TT"/>
        </w:rPr>
        <w:t xml:space="preserve">recurring expenses associated with </w:t>
      </w:r>
      <w:r w:rsidR="00ED1CF2" w:rsidRPr="002727DA">
        <w:rPr>
          <w:rFonts w:asciiTheme="minorHAnsi" w:hAnsiTheme="minorHAnsi"/>
          <w:sz w:val="24"/>
          <w:szCs w:val="24"/>
          <w:lang w:val="en-TT"/>
        </w:rPr>
        <w:t>premises, security</w:t>
      </w:r>
      <w:r w:rsidRPr="002727DA">
        <w:rPr>
          <w:rFonts w:asciiTheme="minorHAnsi" w:hAnsiTheme="minorHAnsi"/>
          <w:sz w:val="24"/>
          <w:szCs w:val="24"/>
          <w:lang w:val="en-TT"/>
        </w:rPr>
        <w:t xml:space="preserve"> and storage</w:t>
      </w:r>
      <w:r w:rsidR="008431AB">
        <w:rPr>
          <w:rFonts w:asciiTheme="minorHAnsi" w:hAnsiTheme="minorHAnsi"/>
          <w:sz w:val="24"/>
          <w:szCs w:val="24"/>
          <w:lang w:val="en-TT"/>
        </w:rPr>
        <w:t xml:space="preserve"> for the first five years</w:t>
      </w:r>
      <w:r w:rsidRPr="002727DA">
        <w:rPr>
          <w:rFonts w:asciiTheme="minorHAnsi" w:hAnsiTheme="minorHAnsi"/>
          <w:sz w:val="24"/>
          <w:szCs w:val="24"/>
          <w:lang w:val="en-TT"/>
        </w:rPr>
        <w:t>.</w:t>
      </w:r>
    </w:p>
    <w:p w:rsidR="004A7484" w:rsidRPr="002727DA" w:rsidRDefault="004A7484" w:rsidP="004A7484">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t xml:space="preserve">The </w:t>
      </w:r>
      <w:r w:rsidR="00AC4133">
        <w:rPr>
          <w:rFonts w:asciiTheme="minorHAnsi" w:hAnsiTheme="minorHAnsi"/>
          <w:sz w:val="24"/>
          <w:szCs w:val="24"/>
          <w:lang w:val="en-TT"/>
        </w:rPr>
        <w:t xml:space="preserve">recurring </w:t>
      </w:r>
      <w:r>
        <w:rPr>
          <w:rFonts w:asciiTheme="minorHAnsi" w:hAnsiTheme="minorHAnsi"/>
          <w:sz w:val="24"/>
          <w:szCs w:val="24"/>
          <w:lang w:val="en-TT"/>
        </w:rPr>
        <w:t xml:space="preserve">costs </w:t>
      </w:r>
      <w:r w:rsidRPr="002727DA">
        <w:rPr>
          <w:rFonts w:asciiTheme="minorHAnsi" w:hAnsiTheme="minorHAnsi"/>
          <w:sz w:val="24"/>
          <w:szCs w:val="24"/>
          <w:lang w:val="en-TT"/>
        </w:rPr>
        <w:t xml:space="preserve">identified </w:t>
      </w:r>
      <w:r>
        <w:rPr>
          <w:rFonts w:asciiTheme="minorHAnsi" w:hAnsiTheme="minorHAnsi"/>
          <w:sz w:val="24"/>
          <w:szCs w:val="24"/>
          <w:lang w:val="en-TT"/>
        </w:rPr>
        <w:t xml:space="preserve">includes </w:t>
      </w:r>
      <w:r w:rsidRPr="002727DA">
        <w:rPr>
          <w:rFonts w:asciiTheme="minorHAnsi" w:hAnsiTheme="minorHAnsi"/>
          <w:sz w:val="24"/>
          <w:szCs w:val="24"/>
          <w:lang w:val="en-TT"/>
        </w:rPr>
        <w:t>bare bone estimates for</w:t>
      </w:r>
      <w:r>
        <w:rPr>
          <w:rFonts w:asciiTheme="minorHAnsi" w:hAnsiTheme="minorHAnsi"/>
          <w:sz w:val="24"/>
          <w:szCs w:val="24"/>
          <w:lang w:val="en-TT"/>
        </w:rPr>
        <w:t xml:space="preserve"> communication, subscriptions, </w:t>
      </w:r>
      <w:r w:rsidR="00F71AAA">
        <w:rPr>
          <w:rFonts w:asciiTheme="minorHAnsi" w:hAnsiTheme="minorHAnsi"/>
          <w:sz w:val="24"/>
          <w:szCs w:val="24"/>
          <w:lang w:val="en-TT"/>
        </w:rPr>
        <w:t xml:space="preserve">staff </w:t>
      </w:r>
      <w:r>
        <w:rPr>
          <w:rFonts w:asciiTheme="minorHAnsi" w:hAnsiTheme="minorHAnsi"/>
          <w:sz w:val="24"/>
          <w:szCs w:val="24"/>
          <w:lang w:val="en-TT"/>
        </w:rPr>
        <w:t xml:space="preserve">training, </w:t>
      </w:r>
      <w:r w:rsidRPr="002727DA">
        <w:rPr>
          <w:rFonts w:asciiTheme="minorHAnsi" w:hAnsiTheme="minorHAnsi"/>
          <w:sz w:val="24"/>
          <w:szCs w:val="24"/>
          <w:lang w:val="en-TT"/>
        </w:rPr>
        <w:t xml:space="preserve">publishing </w:t>
      </w:r>
      <w:r w:rsidR="00F71AAA">
        <w:rPr>
          <w:rFonts w:asciiTheme="minorHAnsi" w:hAnsiTheme="minorHAnsi"/>
          <w:sz w:val="24"/>
          <w:szCs w:val="24"/>
          <w:lang w:val="en-TT"/>
        </w:rPr>
        <w:t xml:space="preserve">/ advertising </w:t>
      </w:r>
      <w:r w:rsidRPr="002727DA">
        <w:rPr>
          <w:rFonts w:asciiTheme="minorHAnsi" w:hAnsiTheme="minorHAnsi"/>
          <w:sz w:val="24"/>
          <w:szCs w:val="24"/>
          <w:lang w:val="en-TT"/>
        </w:rPr>
        <w:t>notices</w:t>
      </w:r>
      <w:r>
        <w:rPr>
          <w:rFonts w:asciiTheme="minorHAnsi" w:hAnsiTheme="minorHAnsi"/>
          <w:sz w:val="24"/>
          <w:szCs w:val="24"/>
          <w:lang w:val="en-TT"/>
        </w:rPr>
        <w:t xml:space="preserve"> and making arrangements for </w:t>
      </w:r>
      <w:r w:rsidRPr="002727DA">
        <w:rPr>
          <w:rFonts w:asciiTheme="minorHAnsi" w:hAnsiTheme="minorHAnsi"/>
          <w:sz w:val="24"/>
          <w:szCs w:val="24"/>
          <w:lang w:val="en-TT"/>
        </w:rPr>
        <w:t>sittings, printing</w:t>
      </w:r>
      <w:r w:rsidR="00F71AAA">
        <w:rPr>
          <w:rFonts w:asciiTheme="minorHAnsi" w:hAnsiTheme="minorHAnsi"/>
          <w:sz w:val="24"/>
          <w:szCs w:val="24"/>
          <w:lang w:val="en-TT"/>
        </w:rPr>
        <w:t xml:space="preserve"> tribunal rules</w:t>
      </w:r>
      <w:r w:rsidRPr="002727DA">
        <w:rPr>
          <w:rFonts w:asciiTheme="minorHAnsi" w:hAnsiTheme="minorHAnsi"/>
          <w:sz w:val="24"/>
          <w:szCs w:val="24"/>
          <w:lang w:val="en-TT"/>
        </w:rPr>
        <w:t>, etc. peculiar to the operations of the Tribunal.</w:t>
      </w:r>
    </w:p>
    <w:p w:rsidR="00DA3B30" w:rsidRPr="002727DA" w:rsidRDefault="00DA3B30" w:rsidP="00127A60">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 xml:space="preserve">Since the </w:t>
      </w:r>
      <w:r w:rsidR="00ED1CF2" w:rsidRPr="002727DA">
        <w:rPr>
          <w:rFonts w:asciiTheme="minorHAnsi" w:hAnsiTheme="minorHAnsi"/>
          <w:sz w:val="24"/>
          <w:szCs w:val="24"/>
          <w:lang w:val="en-TT"/>
        </w:rPr>
        <w:t>T</w:t>
      </w:r>
      <w:r w:rsidRPr="002727DA">
        <w:rPr>
          <w:rFonts w:asciiTheme="minorHAnsi" w:hAnsiTheme="minorHAnsi"/>
          <w:sz w:val="24"/>
          <w:szCs w:val="24"/>
          <w:lang w:val="en-TT"/>
        </w:rPr>
        <w:t xml:space="preserve">ribunal is unlikely to be up and running from the beginning, the full costs for </w:t>
      </w:r>
      <w:r w:rsidR="00ED1CF2" w:rsidRPr="002727DA">
        <w:rPr>
          <w:rFonts w:asciiTheme="minorHAnsi" w:hAnsiTheme="minorHAnsi"/>
          <w:sz w:val="24"/>
          <w:szCs w:val="24"/>
          <w:lang w:val="en-TT"/>
        </w:rPr>
        <w:t>J</w:t>
      </w:r>
      <w:r w:rsidRPr="002727DA">
        <w:rPr>
          <w:rFonts w:asciiTheme="minorHAnsi" w:hAnsiTheme="minorHAnsi"/>
          <w:sz w:val="24"/>
          <w:szCs w:val="24"/>
          <w:lang w:val="en-TT"/>
        </w:rPr>
        <w:t xml:space="preserve">udges </w:t>
      </w:r>
      <w:r w:rsidR="00E72A81">
        <w:rPr>
          <w:rFonts w:asciiTheme="minorHAnsi" w:hAnsiTheme="minorHAnsi"/>
          <w:sz w:val="24"/>
          <w:szCs w:val="24"/>
          <w:lang w:val="en-TT"/>
        </w:rPr>
        <w:t xml:space="preserve">sitting </w:t>
      </w:r>
      <w:r w:rsidRPr="002727DA">
        <w:rPr>
          <w:rFonts w:asciiTheme="minorHAnsi" w:hAnsiTheme="minorHAnsi"/>
          <w:sz w:val="24"/>
          <w:szCs w:val="24"/>
          <w:lang w:val="en-TT"/>
        </w:rPr>
        <w:t xml:space="preserve">is computed from year </w:t>
      </w:r>
      <w:r w:rsidR="00C06A75">
        <w:rPr>
          <w:rFonts w:asciiTheme="minorHAnsi" w:hAnsiTheme="minorHAnsi"/>
          <w:sz w:val="24"/>
          <w:szCs w:val="24"/>
          <w:lang w:val="en-TT"/>
        </w:rPr>
        <w:t>2</w:t>
      </w:r>
      <w:r w:rsidRPr="002727DA">
        <w:rPr>
          <w:rFonts w:asciiTheme="minorHAnsi" w:hAnsiTheme="minorHAnsi"/>
          <w:sz w:val="24"/>
          <w:szCs w:val="24"/>
          <w:lang w:val="en-TT"/>
        </w:rPr>
        <w:t xml:space="preserve"> </w:t>
      </w:r>
      <w:r w:rsidR="00F71AAA">
        <w:rPr>
          <w:rFonts w:asciiTheme="minorHAnsi" w:hAnsiTheme="minorHAnsi"/>
          <w:sz w:val="24"/>
          <w:szCs w:val="24"/>
          <w:lang w:val="en-TT"/>
        </w:rPr>
        <w:t xml:space="preserve">when it is anticipated they will first sit to define and </w:t>
      </w:r>
      <w:r w:rsidR="00E72A81">
        <w:rPr>
          <w:rFonts w:asciiTheme="minorHAnsi" w:hAnsiTheme="minorHAnsi"/>
          <w:sz w:val="24"/>
          <w:szCs w:val="24"/>
          <w:lang w:val="en-TT"/>
        </w:rPr>
        <w:t xml:space="preserve">agree the </w:t>
      </w:r>
      <w:r w:rsidR="00F71AAA">
        <w:rPr>
          <w:rFonts w:asciiTheme="minorHAnsi" w:hAnsiTheme="minorHAnsi"/>
          <w:sz w:val="24"/>
          <w:szCs w:val="24"/>
          <w:lang w:val="en-TT"/>
        </w:rPr>
        <w:t xml:space="preserve">rules and procedures for the Tribunal. Thereafter, it is estimated that there will be one </w:t>
      </w:r>
      <w:r w:rsidR="00E72A81">
        <w:rPr>
          <w:rFonts w:asciiTheme="minorHAnsi" w:hAnsiTheme="minorHAnsi"/>
          <w:sz w:val="24"/>
          <w:szCs w:val="24"/>
          <w:lang w:val="en-TT"/>
        </w:rPr>
        <w:t xml:space="preserve">sitting </w:t>
      </w:r>
      <w:r w:rsidR="00F71AAA">
        <w:rPr>
          <w:rFonts w:asciiTheme="minorHAnsi" w:hAnsiTheme="minorHAnsi"/>
          <w:sz w:val="24"/>
          <w:szCs w:val="24"/>
          <w:lang w:val="en-TT"/>
        </w:rPr>
        <w:t xml:space="preserve">per year </w:t>
      </w:r>
      <w:r w:rsidR="00E72A81">
        <w:rPr>
          <w:rFonts w:asciiTheme="minorHAnsi" w:hAnsiTheme="minorHAnsi"/>
          <w:sz w:val="24"/>
          <w:szCs w:val="24"/>
          <w:lang w:val="en-TT"/>
        </w:rPr>
        <w:t xml:space="preserve">commencing </w:t>
      </w:r>
      <w:r w:rsidR="00F71AAA">
        <w:rPr>
          <w:rFonts w:asciiTheme="minorHAnsi" w:hAnsiTheme="minorHAnsi"/>
          <w:sz w:val="24"/>
          <w:szCs w:val="24"/>
          <w:lang w:val="en-TT"/>
        </w:rPr>
        <w:t>in year 3</w:t>
      </w:r>
      <w:r w:rsidR="00E72A81" w:rsidRPr="00E72A81">
        <w:rPr>
          <w:rFonts w:asciiTheme="minorHAnsi" w:hAnsiTheme="minorHAnsi"/>
          <w:sz w:val="24"/>
          <w:szCs w:val="24"/>
          <w:lang w:val="en-TT"/>
        </w:rPr>
        <w:t xml:space="preserve"> </w:t>
      </w:r>
      <w:r w:rsidR="00E72A81">
        <w:rPr>
          <w:rFonts w:asciiTheme="minorHAnsi" w:hAnsiTheme="minorHAnsi"/>
          <w:sz w:val="24"/>
          <w:szCs w:val="24"/>
          <w:lang w:val="en-TT"/>
        </w:rPr>
        <w:t>and until appeals increase sufficiently to facilitate more yearly sittings. Each sitting is estimated to last for 2-3 days at a time.</w:t>
      </w:r>
      <w:r w:rsidR="00F71AAA">
        <w:rPr>
          <w:rFonts w:asciiTheme="minorHAnsi" w:hAnsiTheme="minorHAnsi"/>
          <w:sz w:val="24"/>
          <w:szCs w:val="24"/>
          <w:lang w:val="en-TT"/>
        </w:rPr>
        <w:t xml:space="preserve">  </w:t>
      </w:r>
    </w:p>
    <w:p w:rsidR="00DA3B30" w:rsidRPr="002727DA" w:rsidRDefault="00DA3B30" w:rsidP="00127A60">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 xml:space="preserve">The RJLSC will be responsible for recruitment of </w:t>
      </w:r>
      <w:r w:rsidR="004A7484">
        <w:rPr>
          <w:rFonts w:asciiTheme="minorHAnsi" w:hAnsiTheme="minorHAnsi"/>
          <w:sz w:val="24"/>
          <w:szCs w:val="24"/>
          <w:lang w:val="en-TT"/>
        </w:rPr>
        <w:t xml:space="preserve">the </w:t>
      </w:r>
      <w:r w:rsidRPr="002727DA">
        <w:rPr>
          <w:rFonts w:asciiTheme="minorHAnsi" w:hAnsiTheme="minorHAnsi"/>
          <w:sz w:val="24"/>
          <w:szCs w:val="24"/>
          <w:lang w:val="en-TT"/>
        </w:rPr>
        <w:t>Judges to the Tribunal.</w:t>
      </w:r>
    </w:p>
    <w:p w:rsidR="004A7484" w:rsidRPr="002727DA" w:rsidRDefault="004A7484" w:rsidP="004A7484">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 xml:space="preserve">Three Judges will form the panel at any one sitting. </w:t>
      </w:r>
    </w:p>
    <w:p w:rsidR="00DA3B30" w:rsidRPr="002727DA" w:rsidRDefault="00DA3B30" w:rsidP="00127A60">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 xml:space="preserve">Hiring will be selected from 5 </w:t>
      </w:r>
      <w:r w:rsidR="004A7484">
        <w:rPr>
          <w:rFonts w:asciiTheme="minorHAnsi" w:hAnsiTheme="minorHAnsi"/>
          <w:sz w:val="24"/>
          <w:szCs w:val="24"/>
          <w:lang w:val="en-TT"/>
        </w:rPr>
        <w:t xml:space="preserve">judges </w:t>
      </w:r>
      <w:r w:rsidRPr="002727DA">
        <w:rPr>
          <w:rFonts w:asciiTheme="minorHAnsi" w:hAnsiTheme="minorHAnsi"/>
          <w:sz w:val="24"/>
          <w:szCs w:val="24"/>
          <w:lang w:val="en-TT"/>
        </w:rPr>
        <w:t>to be shortlisted.</w:t>
      </w:r>
    </w:p>
    <w:p w:rsidR="00DA3B30" w:rsidRPr="002727DA" w:rsidRDefault="00DA3B30" w:rsidP="00127A60">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 xml:space="preserve">Estimated cost of stay during hearings </w:t>
      </w:r>
      <w:r w:rsidR="004A7484">
        <w:rPr>
          <w:rFonts w:asciiTheme="minorHAnsi" w:hAnsiTheme="minorHAnsi"/>
          <w:sz w:val="24"/>
          <w:szCs w:val="24"/>
          <w:lang w:val="en-TT"/>
        </w:rPr>
        <w:t>comprise</w:t>
      </w:r>
      <w:r w:rsidRPr="002727DA">
        <w:rPr>
          <w:rFonts w:asciiTheme="minorHAnsi" w:hAnsiTheme="minorHAnsi"/>
          <w:sz w:val="24"/>
          <w:szCs w:val="24"/>
          <w:lang w:val="en-TT"/>
        </w:rPr>
        <w:t xml:space="preserve"> airfare, accommodation and per diem (4 days, three nights)</w:t>
      </w:r>
    </w:p>
    <w:p w:rsidR="00DA3B30" w:rsidRPr="002727DA" w:rsidRDefault="00CB79E6" w:rsidP="00127A60">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t>Honorarium</w:t>
      </w:r>
      <w:r w:rsidRPr="002727DA">
        <w:rPr>
          <w:rFonts w:asciiTheme="minorHAnsi" w:hAnsiTheme="minorHAnsi"/>
          <w:sz w:val="24"/>
          <w:szCs w:val="24"/>
          <w:lang w:val="en-TT"/>
        </w:rPr>
        <w:t xml:space="preserve"> </w:t>
      </w:r>
      <w:r w:rsidR="00DA3B30" w:rsidRPr="002727DA">
        <w:rPr>
          <w:rFonts w:asciiTheme="minorHAnsi" w:hAnsiTheme="minorHAnsi"/>
          <w:sz w:val="24"/>
          <w:szCs w:val="24"/>
          <w:lang w:val="en-TT"/>
        </w:rPr>
        <w:t xml:space="preserve">per judge per </w:t>
      </w:r>
      <w:r w:rsidR="00E72A81">
        <w:rPr>
          <w:rFonts w:asciiTheme="minorHAnsi" w:hAnsiTheme="minorHAnsi"/>
          <w:sz w:val="24"/>
          <w:szCs w:val="24"/>
          <w:lang w:val="en-TT"/>
        </w:rPr>
        <w:t xml:space="preserve">sitting </w:t>
      </w:r>
      <w:r w:rsidR="00DA3B30" w:rsidRPr="002727DA">
        <w:rPr>
          <w:rFonts w:asciiTheme="minorHAnsi" w:hAnsiTheme="minorHAnsi"/>
          <w:sz w:val="24"/>
          <w:szCs w:val="24"/>
          <w:lang w:val="en-TT"/>
        </w:rPr>
        <w:t xml:space="preserve">is </w:t>
      </w:r>
      <w:r w:rsidR="00E72A81">
        <w:rPr>
          <w:rFonts w:asciiTheme="minorHAnsi" w:hAnsiTheme="minorHAnsi"/>
          <w:sz w:val="24"/>
          <w:szCs w:val="24"/>
          <w:lang w:val="en-TT"/>
        </w:rPr>
        <w:t xml:space="preserve">estimated at </w:t>
      </w:r>
      <w:r w:rsidR="00DA3B30" w:rsidRPr="002727DA">
        <w:rPr>
          <w:rFonts w:asciiTheme="minorHAnsi" w:hAnsiTheme="minorHAnsi"/>
          <w:sz w:val="24"/>
          <w:szCs w:val="24"/>
          <w:lang w:val="en-TT"/>
        </w:rPr>
        <w:t>US</w:t>
      </w:r>
      <w:r w:rsidR="00E72A81">
        <w:rPr>
          <w:rFonts w:asciiTheme="minorHAnsi" w:hAnsiTheme="minorHAnsi"/>
          <w:sz w:val="24"/>
          <w:szCs w:val="24"/>
          <w:lang w:val="en-TT"/>
        </w:rPr>
        <w:t>$</w:t>
      </w:r>
      <w:r w:rsidR="00DA3B30" w:rsidRPr="002727DA">
        <w:rPr>
          <w:rFonts w:asciiTheme="minorHAnsi" w:hAnsiTheme="minorHAnsi"/>
          <w:sz w:val="24"/>
          <w:szCs w:val="24"/>
          <w:lang w:val="en-TT"/>
        </w:rPr>
        <w:t>3,000</w:t>
      </w:r>
      <w:r w:rsidR="00ED1CF2" w:rsidRPr="002727DA">
        <w:rPr>
          <w:rFonts w:asciiTheme="minorHAnsi" w:hAnsiTheme="minorHAnsi"/>
          <w:sz w:val="24"/>
          <w:szCs w:val="24"/>
          <w:lang w:val="en-TT"/>
        </w:rPr>
        <w:t>.00</w:t>
      </w:r>
      <w:r w:rsidR="00DA3B30" w:rsidRPr="002727DA">
        <w:rPr>
          <w:rFonts w:asciiTheme="minorHAnsi" w:hAnsiTheme="minorHAnsi"/>
          <w:sz w:val="24"/>
          <w:szCs w:val="24"/>
          <w:lang w:val="en-TT"/>
        </w:rPr>
        <w:t xml:space="preserve">. This cost will be fixed for </w:t>
      </w:r>
      <w:r w:rsidR="00514F74">
        <w:rPr>
          <w:rFonts w:asciiTheme="minorHAnsi" w:hAnsiTheme="minorHAnsi"/>
          <w:sz w:val="24"/>
          <w:szCs w:val="24"/>
          <w:lang w:val="en-TT"/>
        </w:rPr>
        <w:t xml:space="preserve">intervals of </w:t>
      </w:r>
      <w:r w:rsidR="00031E71">
        <w:rPr>
          <w:rFonts w:asciiTheme="minorHAnsi" w:hAnsiTheme="minorHAnsi"/>
          <w:sz w:val="24"/>
          <w:szCs w:val="24"/>
          <w:lang w:val="en-TT"/>
        </w:rPr>
        <w:t>5</w:t>
      </w:r>
      <w:r w:rsidR="004A7484">
        <w:rPr>
          <w:rFonts w:asciiTheme="minorHAnsi" w:hAnsiTheme="minorHAnsi"/>
          <w:sz w:val="24"/>
          <w:szCs w:val="24"/>
          <w:lang w:val="en-TT"/>
        </w:rPr>
        <w:t>-</w:t>
      </w:r>
      <w:r w:rsidR="00031E71">
        <w:rPr>
          <w:rFonts w:asciiTheme="minorHAnsi" w:hAnsiTheme="minorHAnsi"/>
          <w:sz w:val="24"/>
          <w:szCs w:val="24"/>
          <w:lang w:val="en-TT"/>
        </w:rPr>
        <w:t>year</w:t>
      </w:r>
      <w:r w:rsidR="004A7484">
        <w:rPr>
          <w:rFonts w:asciiTheme="minorHAnsi" w:hAnsiTheme="minorHAnsi"/>
          <w:sz w:val="24"/>
          <w:szCs w:val="24"/>
          <w:lang w:val="en-TT"/>
        </w:rPr>
        <w:t xml:space="preserve"> period </w:t>
      </w:r>
      <w:r w:rsidR="00031E71">
        <w:rPr>
          <w:rFonts w:asciiTheme="minorHAnsi" w:hAnsiTheme="minorHAnsi"/>
          <w:sz w:val="24"/>
          <w:szCs w:val="24"/>
          <w:lang w:val="en-TT"/>
        </w:rPr>
        <w:t xml:space="preserve">starting from year </w:t>
      </w:r>
      <w:r w:rsidR="004A7484">
        <w:rPr>
          <w:rFonts w:asciiTheme="minorHAnsi" w:hAnsiTheme="minorHAnsi"/>
          <w:sz w:val="24"/>
          <w:szCs w:val="24"/>
          <w:lang w:val="en-TT"/>
        </w:rPr>
        <w:t>2</w:t>
      </w:r>
      <w:r w:rsidR="00031E71">
        <w:rPr>
          <w:rFonts w:asciiTheme="minorHAnsi" w:hAnsiTheme="minorHAnsi"/>
          <w:sz w:val="24"/>
          <w:szCs w:val="24"/>
          <w:lang w:val="en-TT"/>
        </w:rPr>
        <w:t xml:space="preserve"> </w:t>
      </w:r>
      <w:r w:rsidR="004376A2">
        <w:rPr>
          <w:rFonts w:asciiTheme="minorHAnsi" w:hAnsiTheme="minorHAnsi"/>
          <w:sz w:val="24"/>
          <w:szCs w:val="24"/>
          <w:lang w:val="en-TT"/>
        </w:rPr>
        <w:t xml:space="preserve">after </w:t>
      </w:r>
      <w:r w:rsidR="00031E71">
        <w:rPr>
          <w:rFonts w:asciiTheme="minorHAnsi" w:hAnsiTheme="minorHAnsi"/>
          <w:sz w:val="24"/>
          <w:szCs w:val="24"/>
          <w:lang w:val="en-TT"/>
        </w:rPr>
        <w:t xml:space="preserve">establishment of </w:t>
      </w:r>
      <w:r w:rsidR="004376A2">
        <w:rPr>
          <w:rFonts w:asciiTheme="minorHAnsi" w:hAnsiTheme="minorHAnsi"/>
          <w:sz w:val="24"/>
          <w:szCs w:val="24"/>
          <w:lang w:val="en-TT"/>
        </w:rPr>
        <w:t xml:space="preserve">the </w:t>
      </w:r>
      <w:r w:rsidR="00031E71">
        <w:rPr>
          <w:rFonts w:asciiTheme="minorHAnsi" w:hAnsiTheme="minorHAnsi"/>
          <w:sz w:val="24"/>
          <w:szCs w:val="24"/>
          <w:lang w:val="en-TT"/>
        </w:rPr>
        <w:t>Tribunal.</w:t>
      </w:r>
    </w:p>
    <w:p w:rsidR="004376A2" w:rsidRDefault="004376A2" w:rsidP="004376A2">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lastRenderedPageBreak/>
        <w:t xml:space="preserve">A </w:t>
      </w:r>
      <w:r w:rsidRPr="00B420CD">
        <w:rPr>
          <w:rFonts w:asciiTheme="minorHAnsi" w:hAnsiTheme="minorHAnsi"/>
          <w:sz w:val="24"/>
          <w:szCs w:val="24"/>
          <w:lang w:val="en-TT"/>
        </w:rPr>
        <w:t>recurrent cost (RC) of US$</w:t>
      </w:r>
      <w:r w:rsidR="00E72A81">
        <w:rPr>
          <w:rFonts w:asciiTheme="minorHAnsi" w:hAnsiTheme="minorHAnsi"/>
          <w:sz w:val="24"/>
          <w:szCs w:val="24"/>
          <w:lang w:val="en-TT"/>
        </w:rPr>
        <w:t>12</w:t>
      </w:r>
      <w:r w:rsidRPr="00B420CD">
        <w:rPr>
          <w:rFonts w:asciiTheme="minorHAnsi" w:hAnsiTheme="minorHAnsi"/>
          <w:sz w:val="24"/>
          <w:szCs w:val="24"/>
          <w:lang w:val="en-TT"/>
        </w:rPr>
        <w:t>,</w:t>
      </w:r>
      <w:r w:rsidR="00E72A81">
        <w:rPr>
          <w:rFonts w:asciiTheme="minorHAnsi" w:hAnsiTheme="minorHAnsi"/>
          <w:sz w:val="24"/>
          <w:szCs w:val="24"/>
          <w:lang w:val="en-TT"/>
        </w:rPr>
        <w:t>4</w:t>
      </w:r>
      <w:r w:rsidRPr="00B420CD">
        <w:rPr>
          <w:rFonts w:asciiTheme="minorHAnsi" w:hAnsiTheme="minorHAnsi"/>
          <w:sz w:val="24"/>
          <w:szCs w:val="24"/>
          <w:lang w:val="en-TT"/>
        </w:rPr>
        <w:t xml:space="preserve">60 </w:t>
      </w:r>
      <w:r w:rsidR="00AC4133">
        <w:rPr>
          <w:rFonts w:asciiTheme="minorHAnsi" w:hAnsiTheme="minorHAnsi"/>
          <w:sz w:val="24"/>
          <w:szCs w:val="24"/>
          <w:lang w:val="en-TT"/>
        </w:rPr>
        <w:t xml:space="preserve">for administrative arrangements </w:t>
      </w:r>
      <w:r w:rsidRPr="00B420CD">
        <w:rPr>
          <w:rFonts w:asciiTheme="minorHAnsi" w:hAnsiTheme="minorHAnsi"/>
          <w:sz w:val="24"/>
          <w:szCs w:val="24"/>
          <w:lang w:val="en-TT"/>
        </w:rPr>
        <w:t xml:space="preserve">is envisaged per year starting from year 2. </w:t>
      </w:r>
    </w:p>
    <w:p w:rsidR="00C06A75" w:rsidRDefault="00DA3B30" w:rsidP="00D13450">
      <w:pPr>
        <w:pStyle w:val="ListParagraph"/>
        <w:numPr>
          <w:ilvl w:val="0"/>
          <w:numId w:val="1"/>
        </w:numPr>
        <w:jc w:val="both"/>
        <w:rPr>
          <w:rFonts w:asciiTheme="minorHAnsi" w:hAnsiTheme="minorHAnsi"/>
          <w:sz w:val="24"/>
          <w:szCs w:val="24"/>
          <w:lang w:val="en-TT"/>
        </w:rPr>
      </w:pPr>
      <w:r w:rsidRPr="002727DA">
        <w:rPr>
          <w:rFonts w:asciiTheme="minorHAnsi" w:hAnsiTheme="minorHAnsi"/>
          <w:sz w:val="24"/>
          <w:szCs w:val="24"/>
          <w:lang w:val="en-TT"/>
        </w:rPr>
        <w:t>In the 1</w:t>
      </w:r>
      <w:r w:rsidRPr="002727DA">
        <w:rPr>
          <w:rFonts w:asciiTheme="minorHAnsi" w:hAnsiTheme="minorHAnsi"/>
          <w:sz w:val="24"/>
          <w:szCs w:val="24"/>
          <w:vertAlign w:val="superscript"/>
          <w:lang w:val="en-TT"/>
        </w:rPr>
        <w:t>st</w:t>
      </w:r>
      <w:r w:rsidRPr="002727DA">
        <w:rPr>
          <w:rFonts w:asciiTheme="minorHAnsi" w:hAnsiTheme="minorHAnsi"/>
          <w:sz w:val="24"/>
          <w:szCs w:val="24"/>
          <w:lang w:val="en-TT"/>
        </w:rPr>
        <w:t xml:space="preserve"> year of operation</w:t>
      </w:r>
      <w:r w:rsidR="004376A2">
        <w:rPr>
          <w:rFonts w:asciiTheme="minorHAnsi" w:hAnsiTheme="minorHAnsi"/>
          <w:sz w:val="24"/>
          <w:szCs w:val="24"/>
          <w:lang w:val="en-TT"/>
        </w:rPr>
        <w:t xml:space="preserve"> (year 2)</w:t>
      </w:r>
      <w:r w:rsidRPr="002727DA">
        <w:rPr>
          <w:rFonts w:asciiTheme="minorHAnsi" w:hAnsiTheme="minorHAnsi"/>
          <w:sz w:val="24"/>
          <w:szCs w:val="24"/>
          <w:lang w:val="en-TT"/>
        </w:rPr>
        <w:t>, a one-time cost of US$35</w:t>
      </w:r>
      <w:r w:rsidR="00E5239A">
        <w:rPr>
          <w:rFonts w:asciiTheme="minorHAnsi" w:hAnsiTheme="minorHAnsi"/>
          <w:sz w:val="24"/>
          <w:szCs w:val="24"/>
          <w:lang w:val="en-TT"/>
        </w:rPr>
        <w:t>,000</w:t>
      </w:r>
      <w:r w:rsidRPr="002727DA">
        <w:rPr>
          <w:rFonts w:asciiTheme="minorHAnsi" w:hAnsiTheme="minorHAnsi"/>
          <w:sz w:val="24"/>
          <w:szCs w:val="24"/>
          <w:lang w:val="en-TT"/>
        </w:rPr>
        <w:t xml:space="preserve"> is </w:t>
      </w:r>
      <w:r w:rsidR="0069272E" w:rsidRPr="002727DA">
        <w:rPr>
          <w:rFonts w:asciiTheme="minorHAnsi" w:hAnsiTheme="minorHAnsi"/>
          <w:sz w:val="24"/>
          <w:szCs w:val="24"/>
          <w:lang w:val="en-TT"/>
        </w:rPr>
        <w:t>budgeted</w:t>
      </w:r>
      <w:r w:rsidRPr="002727DA">
        <w:rPr>
          <w:rFonts w:asciiTheme="minorHAnsi" w:hAnsiTheme="minorHAnsi"/>
          <w:sz w:val="24"/>
          <w:szCs w:val="24"/>
          <w:lang w:val="en-TT"/>
        </w:rPr>
        <w:t xml:space="preserve"> for the launch</w:t>
      </w:r>
      <w:r w:rsidR="0063255D" w:rsidRPr="002727DA">
        <w:rPr>
          <w:rFonts w:asciiTheme="minorHAnsi" w:hAnsiTheme="minorHAnsi"/>
          <w:sz w:val="24"/>
          <w:szCs w:val="24"/>
          <w:lang w:val="en-TT"/>
        </w:rPr>
        <w:t xml:space="preserve"> </w:t>
      </w:r>
      <w:r w:rsidR="00437B4D">
        <w:rPr>
          <w:rFonts w:asciiTheme="minorHAnsi" w:hAnsiTheme="minorHAnsi"/>
          <w:sz w:val="24"/>
          <w:szCs w:val="24"/>
          <w:lang w:val="en-TT"/>
        </w:rPr>
        <w:t>of</w:t>
      </w:r>
      <w:r w:rsidR="00D13450">
        <w:rPr>
          <w:rFonts w:asciiTheme="minorHAnsi" w:hAnsiTheme="minorHAnsi"/>
          <w:sz w:val="24"/>
          <w:szCs w:val="24"/>
          <w:lang w:val="en-TT"/>
        </w:rPr>
        <w:t xml:space="preserve"> the </w:t>
      </w:r>
      <w:r w:rsidR="00437B4D">
        <w:rPr>
          <w:rFonts w:asciiTheme="minorHAnsi" w:hAnsiTheme="minorHAnsi"/>
          <w:sz w:val="24"/>
          <w:szCs w:val="24"/>
          <w:lang w:val="en-TT"/>
        </w:rPr>
        <w:t xml:space="preserve">tribunal and the recruitment of the Judges </w:t>
      </w:r>
      <w:r w:rsidR="0063255D" w:rsidRPr="002727DA">
        <w:rPr>
          <w:rFonts w:asciiTheme="minorHAnsi" w:hAnsiTheme="minorHAnsi"/>
          <w:sz w:val="24"/>
          <w:szCs w:val="24"/>
          <w:lang w:val="en-TT"/>
        </w:rPr>
        <w:t>(and will be donor sponsored)</w:t>
      </w:r>
      <w:r w:rsidR="000A36B2">
        <w:rPr>
          <w:rFonts w:asciiTheme="minorHAnsi" w:hAnsiTheme="minorHAnsi"/>
          <w:sz w:val="24"/>
          <w:szCs w:val="24"/>
          <w:lang w:val="en-TT"/>
        </w:rPr>
        <w:t>. In addition</w:t>
      </w:r>
      <w:r w:rsidR="00591233">
        <w:rPr>
          <w:rFonts w:asciiTheme="minorHAnsi" w:hAnsiTheme="minorHAnsi"/>
          <w:sz w:val="24"/>
          <w:szCs w:val="24"/>
          <w:lang w:val="en-TT"/>
        </w:rPr>
        <w:t>,</w:t>
      </w:r>
      <w:r w:rsidR="000A36B2">
        <w:rPr>
          <w:rFonts w:asciiTheme="minorHAnsi" w:hAnsiTheme="minorHAnsi"/>
          <w:sz w:val="24"/>
          <w:szCs w:val="24"/>
          <w:lang w:val="en-TT"/>
        </w:rPr>
        <w:t xml:space="preserve"> an estimate of US$2</w:t>
      </w:r>
      <w:r w:rsidR="00E72A81">
        <w:rPr>
          <w:rFonts w:asciiTheme="minorHAnsi" w:hAnsiTheme="minorHAnsi"/>
          <w:sz w:val="24"/>
          <w:szCs w:val="24"/>
          <w:lang w:val="en-TT"/>
        </w:rPr>
        <w:t>0</w:t>
      </w:r>
      <w:r w:rsidR="000A36B2">
        <w:rPr>
          <w:rFonts w:asciiTheme="minorHAnsi" w:hAnsiTheme="minorHAnsi"/>
          <w:sz w:val="24"/>
          <w:szCs w:val="24"/>
          <w:lang w:val="en-TT"/>
        </w:rPr>
        <w:t>,</w:t>
      </w:r>
      <w:r w:rsidR="00E72A81">
        <w:rPr>
          <w:rFonts w:asciiTheme="minorHAnsi" w:hAnsiTheme="minorHAnsi"/>
          <w:sz w:val="24"/>
          <w:szCs w:val="24"/>
          <w:lang w:val="en-TT"/>
        </w:rPr>
        <w:t>4</w:t>
      </w:r>
      <w:r w:rsidR="000A36B2">
        <w:rPr>
          <w:rFonts w:asciiTheme="minorHAnsi" w:hAnsiTheme="minorHAnsi"/>
          <w:sz w:val="24"/>
          <w:szCs w:val="24"/>
          <w:lang w:val="en-TT"/>
        </w:rPr>
        <w:t xml:space="preserve">00 is </w:t>
      </w:r>
      <w:r w:rsidR="004376A2">
        <w:rPr>
          <w:rFonts w:asciiTheme="minorHAnsi" w:hAnsiTheme="minorHAnsi"/>
          <w:sz w:val="24"/>
          <w:szCs w:val="24"/>
          <w:lang w:val="en-TT"/>
        </w:rPr>
        <w:t xml:space="preserve">assumed </w:t>
      </w:r>
      <w:r w:rsidR="000A36B2">
        <w:rPr>
          <w:rFonts w:asciiTheme="minorHAnsi" w:hAnsiTheme="minorHAnsi"/>
          <w:sz w:val="24"/>
          <w:szCs w:val="24"/>
          <w:lang w:val="en-TT"/>
        </w:rPr>
        <w:t xml:space="preserve">for the judges </w:t>
      </w:r>
      <w:r w:rsidR="004376A2">
        <w:rPr>
          <w:rFonts w:asciiTheme="minorHAnsi" w:hAnsiTheme="minorHAnsi"/>
          <w:sz w:val="24"/>
          <w:szCs w:val="24"/>
          <w:lang w:val="en-TT"/>
        </w:rPr>
        <w:t xml:space="preserve">identified to sit on the Tribunal </w:t>
      </w:r>
      <w:r w:rsidR="000A36B2">
        <w:rPr>
          <w:rFonts w:asciiTheme="minorHAnsi" w:hAnsiTheme="minorHAnsi"/>
          <w:sz w:val="24"/>
          <w:szCs w:val="24"/>
          <w:lang w:val="en-TT"/>
        </w:rPr>
        <w:t xml:space="preserve">to have a first sitting to </w:t>
      </w:r>
      <w:r w:rsidR="004376A2">
        <w:rPr>
          <w:rFonts w:asciiTheme="minorHAnsi" w:hAnsiTheme="minorHAnsi"/>
          <w:sz w:val="24"/>
          <w:szCs w:val="24"/>
          <w:lang w:val="en-TT"/>
        </w:rPr>
        <w:t xml:space="preserve">agree and implement the </w:t>
      </w:r>
      <w:r w:rsidR="000A36B2">
        <w:rPr>
          <w:rFonts w:asciiTheme="minorHAnsi" w:hAnsiTheme="minorHAnsi"/>
          <w:sz w:val="24"/>
          <w:szCs w:val="24"/>
          <w:lang w:val="en-TT"/>
        </w:rPr>
        <w:t xml:space="preserve">procedures and rules of the Tribunal. </w:t>
      </w:r>
      <w:r w:rsidR="00E94086">
        <w:rPr>
          <w:rFonts w:asciiTheme="minorHAnsi" w:hAnsiTheme="minorHAnsi"/>
          <w:sz w:val="24"/>
          <w:szCs w:val="24"/>
          <w:lang w:val="en-TT"/>
        </w:rPr>
        <w:t>This first sitting of the panel is set out as a variable cost</w:t>
      </w:r>
      <w:r w:rsidR="004376A2">
        <w:rPr>
          <w:rFonts w:asciiTheme="minorHAnsi" w:hAnsiTheme="minorHAnsi"/>
          <w:sz w:val="24"/>
          <w:szCs w:val="24"/>
          <w:lang w:val="en-TT"/>
        </w:rPr>
        <w:t xml:space="preserve">. </w:t>
      </w:r>
      <w:r w:rsidR="00E94086">
        <w:rPr>
          <w:rFonts w:asciiTheme="minorHAnsi" w:hAnsiTheme="minorHAnsi"/>
          <w:sz w:val="24"/>
          <w:szCs w:val="24"/>
          <w:lang w:val="en-TT"/>
        </w:rPr>
        <w:t xml:space="preserve"> </w:t>
      </w:r>
      <w:r w:rsidR="000A36B2">
        <w:rPr>
          <w:rFonts w:asciiTheme="minorHAnsi" w:hAnsiTheme="minorHAnsi"/>
          <w:sz w:val="24"/>
          <w:szCs w:val="24"/>
          <w:lang w:val="en-TT"/>
        </w:rPr>
        <w:t xml:space="preserve"> </w:t>
      </w:r>
    </w:p>
    <w:p w:rsidR="00C06A75" w:rsidRPr="004376A2" w:rsidRDefault="00DA3B30" w:rsidP="00757587">
      <w:pPr>
        <w:pStyle w:val="ListParagraph"/>
        <w:numPr>
          <w:ilvl w:val="0"/>
          <w:numId w:val="1"/>
        </w:numPr>
        <w:jc w:val="both"/>
        <w:rPr>
          <w:rFonts w:asciiTheme="minorHAnsi" w:hAnsiTheme="minorHAnsi"/>
          <w:sz w:val="24"/>
          <w:szCs w:val="24"/>
          <w:lang w:val="en-TT"/>
        </w:rPr>
      </w:pPr>
      <w:r w:rsidRPr="004376A2">
        <w:rPr>
          <w:rFonts w:asciiTheme="minorHAnsi" w:hAnsiTheme="minorHAnsi"/>
          <w:sz w:val="24"/>
          <w:szCs w:val="24"/>
          <w:lang w:val="en-TT"/>
        </w:rPr>
        <w:t>From the 2</w:t>
      </w:r>
      <w:r w:rsidRPr="004376A2">
        <w:rPr>
          <w:rFonts w:asciiTheme="minorHAnsi" w:hAnsiTheme="minorHAnsi"/>
          <w:sz w:val="24"/>
          <w:szCs w:val="24"/>
          <w:vertAlign w:val="superscript"/>
          <w:lang w:val="en-TT"/>
        </w:rPr>
        <w:t>nd</w:t>
      </w:r>
      <w:r w:rsidRPr="004376A2">
        <w:rPr>
          <w:rFonts w:asciiTheme="minorHAnsi" w:hAnsiTheme="minorHAnsi"/>
          <w:sz w:val="24"/>
          <w:szCs w:val="24"/>
          <w:lang w:val="en-TT"/>
        </w:rPr>
        <w:t xml:space="preserve"> year of operation</w:t>
      </w:r>
      <w:r w:rsidR="00E72A81">
        <w:rPr>
          <w:rFonts w:asciiTheme="minorHAnsi" w:hAnsiTheme="minorHAnsi"/>
          <w:sz w:val="24"/>
          <w:szCs w:val="24"/>
          <w:lang w:val="en-TT"/>
        </w:rPr>
        <w:t xml:space="preserve"> (year 3)</w:t>
      </w:r>
      <w:r w:rsidRPr="004376A2">
        <w:rPr>
          <w:rFonts w:asciiTheme="minorHAnsi" w:hAnsiTheme="minorHAnsi"/>
          <w:sz w:val="24"/>
          <w:szCs w:val="24"/>
          <w:lang w:val="en-TT"/>
        </w:rPr>
        <w:t xml:space="preserve">, the VC </w:t>
      </w:r>
      <w:r w:rsidR="00E94086" w:rsidRPr="004376A2">
        <w:rPr>
          <w:rFonts w:asciiTheme="minorHAnsi" w:hAnsiTheme="minorHAnsi"/>
          <w:sz w:val="24"/>
          <w:szCs w:val="24"/>
          <w:lang w:val="en-TT"/>
        </w:rPr>
        <w:t xml:space="preserve">of </w:t>
      </w:r>
      <w:r w:rsidRPr="004376A2">
        <w:rPr>
          <w:rFonts w:asciiTheme="minorHAnsi" w:hAnsiTheme="minorHAnsi"/>
          <w:sz w:val="24"/>
          <w:szCs w:val="24"/>
          <w:lang w:val="en-TT"/>
        </w:rPr>
        <w:t>US$</w:t>
      </w:r>
      <w:r w:rsidR="004A7484" w:rsidRPr="004376A2">
        <w:rPr>
          <w:rFonts w:asciiTheme="minorHAnsi" w:hAnsiTheme="minorHAnsi"/>
          <w:sz w:val="24"/>
          <w:szCs w:val="24"/>
          <w:lang w:val="en-TT"/>
        </w:rPr>
        <w:t>2</w:t>
      </w:r>
      <w:r w:rsidR="00E72A81">
        <w:rPr>
          <w:rFonts w:asciiTheme="minorHAnsi" w:hAnsiTheme="minorHAnsi"/>
          <w:sz w:val="24"/>
          <w:szCs w:val="24"/>
          <w:lang w:val="en-TT"/>
        </w:rPr>
        <w:t>0</w:t>
      </w:r>
      <w:r w:rsidR="004A7484" w:rsidRPr="004376A2">
        <w:rPr>
          <w:rFonts w:asciiTheme="minorHAnsi" w:hAnsiTheme="minorHAnsi"/>
          <w:sz w:val="24"/>
          <w:szCs w:val="24"/>
          <w:lang w:val="en-TT"/>
        </w:rPr>
        <w:t>,</w:t>
      </w:r>
      <w:r w:rsidR="00E72A81">
        <w:rPr>
          <w:rFonts w:asciiTheme="minorHAnsi" w:hAnsiTheme="minorHAnsi"/>
          <w:sz w:val="24"/>
          <w:szCs w:val="24"/>
          <w:lang w:val="en-TT"/>
        </w:rPr>
        <w:t>4</w:t>
      </w:r>
      <w:r w:rsidR="004A7484" w:rsidRPr="004376A2">
        <w:rPr>
          <w:rFonts w:asciiTheme="minorHAnsi" w:hAnsiTheme="minorHAnsi"/>
          <w:sz w:val="24"/>
          <w:szCs w:val="24"/>
          <w:lang w:val="en-TT"/>
        </w:rPr>
        <w:t>00</w:t>
      </w:r>
      <w:r w:rsidRPr="004376A2">
        <w:rPr>
          <w:rFonts w:asciiTheme="minorHAnsi" w:hAnsiTheme="minorHAnsi"/>
          <w:sz w:val="24"/>
          <w:szCs w:val="24"/>
          <w:lang w:val="en-TT"/>
        </w:rPr>
        <w:t xml:space="preserve"> </w:t>
      </w:r>
      <w:r w:rsidR="00E94086" w:rsidRPr="004376A2">
        <w:rPr>
          <w:rFonts w:asciiTheme="minorHAnsi" w:hAnsiTheme="minorHAnsi"/>
          <w:sz w:val="24"/>
          <w:szCs w:val="24"/>
          <w:lang w:val="en-TT"/>
        </w:rPr>
        <w:t xml:space="preserve">is </w:t>
      </w:r>
      <w:r w:rsidRPr="004376A2">
        <w:rPr>
          <w:rFonts w:asciiTheme="minorHAnsi" w:hAnsiTheme="minorHAnsi"/>
          <w:sz w:val="24"/>
          <w:szCs w:val="24"/>
          <w:lang w:val="en-TT"/>
        </w:rPr>
        <w:t xml:space="preserve">associated with </w:t>
      </w:r>
      <w:r w:rsidR="004A7484" w:rsidRPr="004376A2">
        <w:rPr>
          <w:rFonts w:asciiTheme="minorHAnsi" w:hAnsiTheme="minorHAnsi"/>
          <w:sz w:val="24"/>
          <w:szCs w:val="24"/>
          <w:lang w:val="en-TT"/>
        </w:rPr>
        <w:t xml:space="preserve">one </w:t>
      </w:r>
      <w:r w:rsidRPr="004376A2">
        <w:rPr>
          <w:rFonts w:asciiTheme="minorHAnsi" w:hAnsiTheme="minorHAnsi"/>
          <w:sz w:val="24"/>
          <w:szCs w:val="24"/>
          <w:lang w:val="en-TT"/>
        </w:rPr>
        <w:t xml:space="preserve">sitting </w:t>
      </w:r>
      <w:r w:rsidR="004A7484" w:rsidRPr="004376A2">
        <w:rPr>
          <w:rFonts w:asciiTheme="minorHAnsi" w:hAnsiTheme="minorHAnsi"/>
          <w:sz w:val="24"/>
          <w:szCs w:val="24"/>
          <w:lang w:val="en-TT"/>
        </w:rPr>
        <w:t xml:space="preserve">per year </w:t>
      </w:r>
      <w:r w:rsidRPr="004376A2">
        <w:rPr>
          <w:rFonts w:asciiTheme="minorHAnsi" w:hAnsiTheme="minorHAnsi"/>
          <w:sz w:val="24"/>
          <w:szCs w:val="24"/>
          <w:lang w:val="en-TT"/>
        </w:rPr>
        <w:t xml:space="preserve">of the panel and </w:t>
      </w:r>
      <w:r w:rsidR="004376A2">
        <w:rPr>
          <w:rFonts w:asciiTheme="minorHAnsi" w:hAnsiTheme="minorHAnsi"/>
          <w:sz w:val="24"/>
          <w:szCs w:val="24"/>
          <w:lang w:val="en-TT"/>
        </w:rPr>
        <w:t xml:space="preserve">a yearly </w:t>
      </w:r>
      <w:r w:rsidR="004A7484" w:rsidRPr="004376A2">
        <w:rPr>
          <w:rFonts w:asciiTheme="minorHAnsi" w:hAnsiTheme="minorHAnsi"/>
          <w:sz w:val="24"/>
          <w:szCs w:val="24"/>
          <w:lang w:val="en-TT"/>
        </w:rPr>
        <w:t xml:space="preserve">recurrent cost </w:t>
      </w:r>
      <w:r w:rsidRPr="004376A2">
        <w:rPr>
          <w:rFonts w:asciiTheme="minorHAnsi" w:hAnsiTheme="minorHAnsi"/>
          <w:sz w:val="24"/>
          <w:szCs w:val="24"/>
          <w:lang w:val="en-TT"/>
        </w:rPr>
        <w:t>of US$</w:t>
      </w:r>
      <w:r w:rsidR="00E72A81">
        <w:rPr>
          <w:rFonts w:asciiTheme="minorHAnsi" w:hAnsiTheme="minorHAnsi"/>
          <w:sz w:val="24"/>
          <w:szCs w:val="24"/>
          <w:lang w:val="en-TT"/>
        </w:rPr>
        <w:t>12</w:t>
      </w:r>
      <w:r w:rsidRPr="004376A2">
        <w:rPr>
          <w:rFonts w:asciiTheme="minorHAnsi" w:hAnsiTheme="minorHAnsi"/>
          <w:sz w:val="24"/>
          <w:szCs w:val="24"/>
          <w:lang w:val="en-TT"/>
        </w:rPr>
        <w:t>,</w:t>
      </w:r>
      <w:r w:rsidR="00E72A81">
        <w:rPr>
          <w:rFonts w:asciiTheme="minorHAnsi" w:hAnsiTheme="minorHAnsi"/>
          <w:sz w:val="24"/>
          <w:szCs w:val="24"/>
          <w:lang w:val="en-TT"/>
        </w:rPr>
        <w:t>0</w:t>
      </w:r>
      <w:r w:rsidR="004A7484" w:rsidRPr="004376A2">
        <w:rPr>
          <w:rFonts w:asciiTheme="minorHAnsi" w:hAnsiTheme="minorHAnsi"/>
          <w:sz w:val="24"/>
          <w:szCs w:val="24"/>
          <w:lang w:val="en-TT"/>
        </w:rPr>
        <w:t>6</w:t>
      </w:r>
      <w:r w:rsidRPr="004376A2">
        <w:rPr>
          <w:rFonts w:asciiTheme="minorHAnsi" w:hAnsiTheme="minorHAnsi"/>
          <w:sz w:val="24"/>
          <w:szCs w:val="24"/>
          <w:lang w:val="en-TT"/>
        </w:rPr>
        <w:t>0</w:t>
      </w:r>
      <w:r w:rsidR="00ED1CF2" w:rsidRPr="004376A2">
        <w:rPr>
          <w:rFonts w:asciiTheme="minorHAnsi" w:hAnsiTheme="minorHAnsi"/>
          <w:sz w:val="24"/>
          <w:szCs w:val="24"/>
          <w:lang w:val="en-TT"/>
        </w:rPr>
        <w:t>.</w:t>
      </w:r>
      <w:r w:rsidR="00C06A75" w:rsidRPr="004376A2">
        <w:rPr>
          <w:rFonts w:asciiTheme="minorHAnsi" w:hAnsiTheme="minorHAnsi"/>
          <w:sz w:val="24"/>
          <w:szCs w:val="24"/>
          <w:lang w:val="en-TT"/>
        </w:rPr>
        <w:t xml:space="preserve">  </w:t>
      </w:r>
    </w:p>
    <w:p w:rsidR="00C06A75" w:rsidRPr="00E94086" w:rsidRDefault="00C06A75" w:rsidP="007F3578">
      <w:pPr>
        <w:pStyle w:val="ListParagraph"/>
        <w:numPr>
          <w:ilvl w:val="0"/>
          <w:numId w:val="1"/>
        </w:numPr>
        <w:jc w:val="both"/>
        <w:rPr>
          <w:rFonts w:asciiTheme="minorHAnsi" w:hAnsiTheme="minorHAnsi"/>
          <w:sz w:val="24"/>
          <w:szCs w:val="24"/>
          <w:lang w:val="en-TT"/>
        </w:rPr>
      </w:pPr>
      <w:r w:rsidRPr="00E94086">
        <w:rPr>
          <w:rFonts w:asciiTheme="minorHAnsi" w:hAnsiTheme="minorHAnsi"/>
          <w:sz w:val="24"/>
          <w:szCs w:val="24"/>
          <w:lang w:val="en-TT"/>
        </w:rPr>
        <w:t xml:space="preserve">If more </w:t>
      </w:r>
      <w:r w:rsidR="004376A2">
        <w:rPr>
          <w:rFonts w:asciiTheme="minorHAnsi" w:hAnsiTheme="minorHAnsi"/>
          <w:sz w:val="24"/>
          <w:szCs w:val="24"/>
          <w:lang w:val="en-TT"/>
        </w:rPr>
        <w:t xml:space="preserve">than one </w:t>
      </w:r>
      <w:r w:rsidRPr="00E94086">
        <w:rPr>
          <w:rFonts w:asciiTheme="minorHAnsi" w:hAnsiTheme="minorHAnsi"/>
          <w:sz w:val="24"/>
          <w:szCs w:val="24"/>
          <w:lang w:val="en-TT"/>
        </w:rPr>
        <w:t>sitting</w:t>
      </w:r>
      <w:r w:rsidR="004376A2">
        <w:rPr>
          <w:rFonts w:asciiTheme="minorHAnsi" w:hAnsiTheme="minorHAnsi"/>
          <w:sz w:val="24"/>
          <w:szCs w:val="24"/>
          <w:lang w:val="en-TT"/>
        </w:rPr>
        <w:t xml:space="preserve"> per year is required</w:t>
      </w:r>
      <w:r w:rsidR="00E94086" w:rsidRPr="00E94086">
        <w:rPr>
          <w:rFonts w:asciiTheme="minorHAnsi" w:hAnsiTheme="minorHAnsi"/>
          <w:sz w:val="24"/>
          <w:szCs w:val="24"/>
          <w:lang w:val="en-TT"/>
        </w:rPr>
        <w:t>, a</w:t>
      </w:r>
      <w:r w:rsidRPr="00E94086">
        <w:rPr>
          <w:rFonts w:asciiTheme="minorHAnsi" w:hAnsiTheme="minorHAnsi"/>
          <w:sz w:val="24"/>
          <w:szCs w:val="24"/>
          <w:lang w:val="en-TT"/>
        </w:rPr>
        <w:t>s a practical cost savings method</w:t>
      </w:r>
      <w:r w:rsidR="004376A2">
        <w:rPr>
          <w:rFonts w:asciiTheme="minorHAnsi" w:hAnsiTheme="minorHAnsi"/>
          <w:sz w:val="24"/>
          <w:szCs w:val="24"/>
          <w:lang w:val="en-TT"/>
        </w:rPr>
        <w:t>, these are assumed to b</w:t>
      </w:r>
      <w:r w:rsidR="00E94086" w:rsidRPr="00E94086">
        <w:rPr>
          <w:rFonts w:asciiTheme="minorHAnsi" w:hAnsiTheme="minorHAnsi"/>
          <w:sz w:val="24"/>
          <w:szCs w:val="24"/>
          <w:lang w:val="en-TT"/>
        </w:rPr>
        <w:t>e via Sk</w:t>
      </w:r>
      <w:r w:rsidR="00951991">
        <w:rPr>
          <w:rFonts w:asciiTheme="minorHAnsi" w:hAnsiTheme="minorHAnsi"/>
          <w:sz w:val="24"/>
          <w:szCs w:val="24"/>
          <w:lang w:val="en-TT"/>
        </w:rPr>
        <w:t>ype</w:t>
      </w:r>
      <w:r w:rsidR="00E94086" w:rsidRPr="00E94086">
        <w:rPr>
          <w:rFonts w:asciiTheme="minorHAnsi" w:hAnsiTheme="minorHAnsi"/>
          <w:sz w:val="24"/>
          <w:szCs w:val="24"/>
          <w:lang w:val="en-TT"/>
        </w:rPr>
        <w:t xml:space="preserve"> or other video messaging means. </w:t>
      </w:r>
    </w:p>
    <w:p w:rsidR="00CB79E6" w:rsidRDefault="000D08CF" w:rsidP="00D13450">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t xml:space="preserve">Of note is the fact that the </w:t>
      </w:r>
      <w:r w:rsidR="00CB79E6">
        <w:rPr>
          <w:rFonts w:asciiTheme="minorHAnsi" w:hAnsiTheme="minorHAnsi"/>
          <w:sz w:val="24"/>
          <w:szCs w:val="24"/>
          <w:lang w:val="en-TT"/>
        </w:rPr>
        <w:t xml:space="preserve">VC will fall if there are no sittings </w:t>
      </w:r>
      <w:r>
        <w:rPr>
          <w:rFonts w:asciiTheme="minorHAnsi" w:hAnsiTheme="minorHAnsi"/>
          <w:sz w:val="24"/>
          <w:szCs w:val="24"/>
          <w:lang w:val="en-TT"/>
        </w:rPr>
        <w:t xml:space="preserve">in any one year </w:t>
      </w:r>
      <w:r w:rsidR="00CB79E6">
        <w:rPr>
          <w:rFonts w:asciiTheme="minorHAnsi" w:hAnsiTheme="minorHAnsi"/>
          <w:sz w:val="24"/>
          <w:szCs w:val="24"/>
          <w:lang w:val="en-TT"/>
        </w:rPr>
        <w:t>or less than the estimate</w:t>
      </w:r>
      <w:r>
        <w:rPr>
          <w:rFonts w:asciiTheme="minorHAnsi" w:hAnsiTheme="minorHAnsi"/>
          <w:sz w:val="24"/>
          <w:szCs w:val="24"/>
          <w:lang w:val="en-TT"/>
        </w:rPr>
        <w:t xml:space="preserve">d number of sittings in the </w:t>
      </w:r>
      <w:r w:rsidR="004376A2">
        <w:rPr>
          <w:rFonts w:asciiTheme="minorHAnsi" w:hAnsiTheme="minorHAnsi"/>
          <w:sz w:val="24"/>
          <w:szCs w:val="24"/>
          <w:lang w:val="en-TT"/>
        </w:rPr>
        <w:t xml:space="preserve">five year projected </w:t>
      </w:r>
      <w:r>
        <w:rPr>
          <w:rFonts w:asciiTheme="minorHAnsi" w:hAnsiTheme="minorHAnsi"/>
          <w:sz w:val="24"/>
          <w:szCs w:val="24"/>
          <w:lang w:val="en-TT"/>
        </w:rPr>
        <w:t>period</w:t>
      </w:r>
      <w:r w:rsidR="00CB79E6">
        <w:rPr>
          <w:rFonts w:asciiTheme="minorHAnsi" w:hAnsiTheme="minorHAnsi"/>
          <w:sz w:val="24"/>
          <w:szCs w:val="24"/>
          <w:lang w:val="en-TT"/>
        </w:rPr>
        <w:t>.</w:t>
      </w:r>
    </w:p>
    <w:p w:rsidR="00D51500" w:rsidRDefault="00D51500" w:rsidP="007F26D7">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t xml:space="preserve">Included also is a small cost of US$400 </w:t>
      </w:r>
      <w:r w:rsidR="007F26D7">
        <w:rPr>
          <w:rFonts w:asciiTheme="minorHAnsi" w:hAnsiTheme="minorHAnsi"/>
          <w:sz w:val="24"/>
          <w:szCs w:val="24"/>
          <w:lang w:val="en-TT"/>
        </w:rPr>
        <w:t xml:space="preserve">in year 2 </w:t>
      </w:r>
      <w:r>
        <w:rPr>
          <w:rFonts w:asciiTheme="minorHAnsi" w:hAnsiTheme="minorHAnsi"/>
          <w:sz w:val="24"/>
          <w:szCs w:val="24"/>
          <w:lang w:val="en-TT"/>
        </w:rPr>
        <w:t>for staff training, in the rules and procedures of the tribunal</w:t>
      </w:r>
      <w:r w:rsidR="007F26D7">
        <w:rPr>
          <w:rFonts w:asciiTheme="minorHAnsi" w:hAnsiTheme="minorHAnsi"/>
          <w:sz w:val="24"/>
          <w:szCs w:val="24"/>
          <w:lang w:val="en-TT"/>
        </w:rPr>
        <w:t>,</w:t>
      </w:r>
      <w:r w:rsidR="007F26D7" w:rsidRPr="007F26D7">
        <w:rPr>
          <w:rFonts w:asciiTheme="minorHAnsi" w:hAnsiTheme="minorHAnsi"/>
          <w:sz w:val="24"/>
          <w:szCs w:val="24"/>
          <w:lang w:val="en-TT"/>
        </w:rPr>
        <w:t xml:space="preserve"> </w:t>
      </w:r>
      <w:r w:rsidR="007F26D7">
        <w:rPr>
          <w:rFonts w:asciiTheme="minorHAnsi" w:hAnsiTheme="minorHAnsi"/>
          <w:sz w:val="24"/>
          <w:szCs w:val="24"/>
          <w:lang w:val="en-TT"/>
        </w:rPr>
        <w:t>if necessary,</w:t>
      </w:r>
    </w:p>
    <w:p w:rsidR="003D1958" w:rsidRPr="002727DA" w:rsidRDefault="003D1958" w:rsidP="00D13450">
      <w:pPr>
        <w:pStyle w:val="ListParagraph"/>
        <w:numPr>
          <w:ilvl w:val="0"/>
          <w:numId w:val="1"/>
        </w:numPr>
        <w:jc w:val="both"/>
        <w:rPr>
          <w:rFonts w:asciiTheme="minorHAnsi" w:hAnsiTheme="minorHAnsi"/>
          <w:sz w:val="24"/>
          <w:szCs w:val="24"/>
          <w:lang w:val="en-TT"/>
        </w:rPr>
      </w:pPr>
      <w:r>
        <w:rPr>
          <w:rFonts w:asciiTheme="minorHAnsi" w:hAnsiTheme="minorHAnsi"/>
          <w:sz w:val="24"/>
          <w:szCs w:val="24"/>
          <w:lang w:val="en-TT"/>
        </w:rPr>
        <w:t>Below is a table showing the financial estimates per year.</w:t>
      </w:r>
      <w:r w:rsidR="00505E5F">
        <w:rPr>
          <w:rFonts w:asciiTheme="minorHAnsi" w:hAnsiTheme="minorHAnsi"/>
          <w:sz w:val="24"/>
          <w:szCs w:val="24"/>
          <w:lang w:val="en-TT"/>
        </w:rPr>
        <w:t xml:space="preserve"> All costs are in US$.</w:t>
      </w:r>
    </w:p>
    <w:p w:rsidR="00DA3B30" w:rsidRPr="007D6A71" w:rsidRDefault="00DA3B30" w:rsidP="00DA3B30">
      <w:pPr>
        <w:rPr>
          <w:rFonts w:asciiTheme="minorHAnsi" w:hAnsiTheme="minorHAnsi"/>
          <w:color w:val="1F497D"/>
          <w:sz w:val="14"/>
          <w:szCs w:val="24"/>
          <w:lang w:eastAsia="en-US"/>
        </w:rPr>
      </w:pPr>
    </w:p>
    <w:tbl>
      <w:tblPr>
        <w:tblStyle w:val="TableGrid"/>
        <w:tblW w:w="8932" w:type="dxa"/>
        <w:jc w:val="right"/>
        <w:tblLook w:val="04A0" w:firstRow="1" w:lastRow="0" w:firstColumn="1" w:lastColumn="0" w:noHBand="0" w:noVBand="1"/>
      </w:tblPr>
      <w:tblGrid>
        <w:gridCol w:w="278"/>
        <w:gridCol w:w="4112"/>
        <w:gridCol w:w="735"/>
        <w:gridCol w:w="844"/>
        <w:gridCol w:w="718"/>
        <w:gridCol w:w="718"/>
        <w:gridCol w:w="718"/>
        <w:gridCol w:w="809"/>
      </w:tblGrid>
      <w:tr w:rsidR="009C02C9" w:rsidTr="00D61285">
        <w:trPr>
          <w:jc w:val="right"/>
        </w:trPr>
        <w:tc>
          <w:tcPr>
            <w:tcW w:w="4390" w:type="dxa"/>
            <w:gridSpan w:val="2"/>
          </w:tcPr>
          <w:p w:rsidR="00814714" w:rsidRPr="00320FEC" w:rsidRDefault="00814714" w:rsidP="007D6A71">
            <w:pPr>
              <w:ind w:left="22" w:hanging="22"/>
              <w:rPr>
                <w:rFonts w:asciiTheme="minorHAnsi" w:hAnsiTheme="minorHAnsi"/>
                <w:b/>
                <w:sz w:val="18"/>
                <w:szCs w:val="18"/>
                <w:lang w:eastAsia="en-US"/>
              </w:rPr>
            </w:pPr>
            <w:r w:rsidRPr="00320FEC">
              <w:rPr>
                <w:rFonts w:asciiTheme="minorHAnsi" w:hAnsiTheme="minorHAnsi"/>
                <w:b/>
                <w:sz w:val="18"/>
                <w:szCs w:val="18"/>
                <w:lang w:eastAsia="en-US"/>
              </w:rPr>
              <w:t>Description</w:t>
            </w:r>
          </w:p>
        </w:tc>
        <w:tc>
          <w:tcPr>
            <w:tcW w:w="735" w:type="dxa"/>
          </w:tcPr>
          <w:p w:rsidR="00814714" w:rsidRPr="00320FEC" w:rsidRDefault="00814714" w:rsidP="00814714">
            <w:pPr>
              <w:jc w:val="right"/>
              <w:rPr>
                <w:rFonts w:asciiTheme="minorHAnsi" w:hAnsiTheme="minorHAnsi"/>
                <w:b/>
                <w:sz w:val="18"/>
                <w:szCs w:val="18"/>
                <w:lang w:eastAsia="en-US"/>
              </w:rPr>
            </w:pPr>
            <w:r w:rsidRPr="00320FEC">
              <w:rPr>
                <w:rFonts w:asciiTheme="minorHAnsi" w:hAnsiTheme="minorHAnsi"/>
                <w:b/>
                <w:sz w:val="18"/>
                <w:szCs w:val="18"/>
                <w:lang w:eastAsia="en-US"/>
              </w:rPr>
              <w:t xml:space="preserve">Year </w:t>
            </w:r>
            <w:r>
              <w:rPr>
                <w:rFonts w:asciiTheme="minorHAnsi" w:hAnsiTheme="minorHAnsi"/>
                <w:b/>
                <w:sz w:val="18"/>
                <w:szCs w:val="18"/>
                <w:lang w:eastAsia="en-US"/>
              </w:rPr>
              <w:t>1</w:t>
            </w:r>
          </w:p>
        </w:tc>
        <w:tc>
          <w:tcPr>
            <w:tcW w:w="844" w:type="dxa"/>
          </w:tcPr>
          <w:p w:rsidR="00814714" w:rsidRPr="00320FEC" w:rsidRDefault="00814714" w:rsidP="00814714">
            <w:pPr>
              <w:jc w:val="right"/>
              <w:rPr>
                <w:rFonts w:asciiTheme="minorHAnsi" w:hAnsiTheme="minorHAnsi"/>
                <w:b/>
                <w:sz w:val="18"/>
                <w:szCs w:val="18"/>
                <w:lang w:eastAsia="en-US"/>
              </w:rPr>
            </w:pPr>
            <w:r w:rsidRPr="00320FEC">
              <w:rPr>
                <w:rFonts w:asciiTheme="minorHAnsi" w:hAnsiTheme="minorHAnsi"/>
                <w:b/>
                <w:sz w:val="18"/>
                <w:szCs w:val="18"/>
                <w:lang w:eastAsia="en-US"/>
              </w:rPr>
              <w:t xml:space="preserve">Year </w:t>
            </w:r>
            <w:r>
              <w:rPr>
                <w:rFonts w:asciiTheme="minorHAnsi" w:hAnsiTheme="minorHAnsi"/>
                <w:b/>
                <w:sz w:val="18"/>
                <w:szCs w:val="18"/>
                <w:lang w:eastAsia="en-US"/>
              </w:rPr>
              <w:t>2</w:t>
            </w:r>
          </w:p>
        </w:tc>
        <w:tc>
          <w:tcPr>
            <w:tcW w:w="718" w:type="dxa"/>
          </w:tcPr>
          <w:p w:rsidR="00814714" w:rsidRPr="00320FEC" w:rsidRDefault="00814714" w:rsidP="00814714">
            <w:pPr>
              <w:jc w:val="right"/>
              <w:rPr>
                <w:rFonts w:asciiTheme="minorHAnsi" w:hAnsiTheme="minorHAnsi"/>
                <w:b/>
                <w:sz w:val="18"/>
                <w:szCs w:val="18"/>
                <w:lang w:eastAsia="en-US"/>
              </w:rPr>
            </w:pPr>
            <w:r w:rsidRPr="00320FEC">
              <w:rPr>
                <w:rFonts w:asciiTheme="minorHAnsi" w:hAnsiTheme="minorHAnsi"/>
                <w:b/>
                <w:sz w:val="18"/>
                <w:szCs w:val="18"/>
                <w:lang w:eastAsia="en-US"/>
              </w:rPr>
              <w:t xml:space="preserve">Year </w:t>
            </w:r>
            <w:r>
              <w:rPr>
                <w:rFonts w:asciiTheme="minorHAnsi" w:hAnsiTheme="minorHAnsi"/>
                <w:b/>
                <w:sz w:val="18"/>
                <w:szCs w:val="18"/>
                <w:lang w:eastAsia="en-US"/>
              </w:rPr>
              <w:t>3</w:t>
            </w:r>
          </w:p>
        </w:tc>
        <w:tc>
          <w:tcPr>
            <w:tcW w:w="718" w:type="dxa"/>
          </w:tcPr>
          <w:p w:rsidR="00814714" w:rsidRPr="00320FEC" w:rsidRDefault="00814714" w:rsidP="00814714">
            <w:pPr>
              <w:jc w:val="right"/>
              <w:rPr>
                <w:rFonts w:asciiTheme="minorHAnsi" w:hAnsiTheme="minorHAnsi"/>
                <w:b/>
                <w:sz w:val="18"/>
                <w:szCs w:val="18"/>
                <w:lang w:eastAsia="en-US"/>
              </w:rPr>
            </w:pPr>
            <w:r w:rsidRPr="00320FEC">
              <w:rPr>
                <w:rFonts w:asciiTheme="minorHAnsi" w:hAnsiTheme="minorHAnsi"/>
                <w:b/>
                <w:sz w:val="18"/>
                <w:szCs w:val="18"/>
                <w:lang w:eastAsia="en-US"/>
              </w:rPr>
              <w:t xml:space="preserve">Year </w:t>
            </w:r>
            <w:r>
              <w:rPr>
                <w:rFonts w:asciiTheme="minorHAnsi" w:hAnsiTheme="minorHAnsi"/>
                <w:b/>
                <w:sz w:val="18"/>
                <w:szCs w:val="18"/>
                <w:lang w:eastAsia="en-US"/>
              </w:rPr>
              <w:t>4</w:t>
            </w:r>
          </w:p>
        </w:tc>
        <w:tc>
          <w:tcPr>
            <w:tcW w:w="718" w:type="dxa"/>
          </w:tcPr>
          <w:p w:rsidR="00814714" w:rsidRPr="00320FEC" w:rsidRDefault="00814714" w:rsidP="00814714">
            <w:pPr>
              <w:jc w:val="right"/>
              <w:rPr>
                <w:rFonts w:asciiTheme="minorHAnsi" w:hAnsiTheme="minorHAnsi"/>
                <w:b/>
                <w:sz w:val="18"/>
                <w:szCs w:val="18"/>
                <w:lang w:eastAsia="en-US"/>
              </w:rPr>
            </w:pPr>
            <w:r>
              <w:rPr>
                <w:rFonts w:asciiTheme="minorHAnsi" w:hAnsiTheme="minorHAnsi"/>
                <w:b/>
                <w:sz w:val="18"/>
                <w:szCs w:val="18"/>
                <w:lang w:eastAsia="en-US"/>
              </w:rPr>
              <w:t>Year 5</w:t>
            </w:r>
          </w:p>
        </w:tc>
        <w:tc>
          <w:tcPr>
            <w:tcW w:w="809" w:type="dxa"/>
          </w:tcPr>
          <w:p w:rsidR="00814714" w:rsidRPr="00320FEC" w:rsidRDefault="00814714" w:rsidP="00814714">
            <w:pPr>
              <w:jc w:val="right"/>
              <w:rPr>
                <w:rFonts w:asciiTheme="minorHAnsi" w:hAnsiTheme="minorHAnsi"/>
                <w:b/>
                <w:sz w:val="18"/>
                <w:szCs w:val="18"/>
                <w:lang w:eastAsia="en-US"/>
              </w:rPr>
            </w:pPr>
            <w:r w:rsidRPr="00320FEC">
              <w:rPr>
                <w:rFonts w:asciiTheme="minorHAnsi" w:hAnsiTheme="minorHAnsi"/>
                <w:b/>
                <w:sz w:val="18"/>
                <w:szCs w:val="18"/>
                <w:lang w:eastAsia="en-US"/>
              </w:rPr>
              <w:t>Total</w:t>
            </w:r>
          </w:p>
        </w:tc>
      </w:tr>
      <w:tr w:rsidR="009C02C9" w:rsidTr="00D61285">
        <w:trPr>
          <w:trHeight w:val="174"/>
          <w:jc w:val="right"/>
        </w:trPr>
        <w:tc>
          <w:tcPr>
            <w:tcW w:w="4390" w:type="dxa"/>
            <w:gridSpan w:val="2"/>
          </w:tcPr>
          <w:p w:rsidR="00814714" w:rsidRPr="00320FEC" w:rsidRDefault="00814714" w:rsidP="00041AB9">
            <w:pPr>
              <w:rPr>
                <w:sz w:val="18"/>
                <w:szCs w:val="18"/>
                <w:lang w:eastAsia="en-TT"/>
              </w:rPr>
            </w:pPr>
            <w:r w:rsidRPr="00320FEC">
              <w:rPr>
                <w:sz w:val="18"/>
                <w:szCs w:val="18"/>
              </w:rPr>
              <w:t xml:space="preserve">1 meeting </w:t>
            </w:r>
            <w:r w:rsidR="00041AB9">
              <w:rPr>
                <w:sz w:val="18"/>
                <w:szCs w:val="18"/>
              </w:rPr>
              <w:t>–</w:t>
            </w:r>
            <w:r w:rsidRPr="00320FEC">
              <w:rPr>
                <w:sz w:val="18"/>
                <w:szCs w:val="18"/>
              </w:rPr>
              <w:t xml:space="preserve"> October</w:t>
            </w:r>
            <w:r w:rsidR="00041AB9">
              <w:rPr>
                <w:sz w:val="18"/>
                <w:szCs w:val="18"/>
              </w:rPr>
              <w:t>/November</w:t>
            </w:r>
            <w:r w:rsidRPr="00320FEC">
              <w:rPr>
                <w:sz w:val="18"/>
                <w:szCs w:val="18"/>
              </w:rPr>
              <w:t xml:space="preserve"> 2016</w:t>
            </w:r>
          </w:p>
        </w:tc>
        <w:tc>
          <w:tcPr>
            <w:tcW w:w="735"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22,690</w:t>
            </w:r>
          </w:p>
        </w:tc>
        <w:tc>
          <w:tcPr>
            <w:tcW w:w="844" w:type="dxa"/>
          </w:tcPr>
          <w:p w:rsidR="00814714" w:rsidRPr="00320FEC" w:rsidRDefault="00814714" w:rsidP="00814714">
            <w:pPr>
              <w:rPr>
                <w:rFonts w:asciiTheme="minorHAnsi" w:hAnsiTheme="minorHAnsi"/>
                <w:sz w:val="18"/>
                <w:szCs w:val="18"/>
                <w:lang w:eastAsia="en-US"/>
              </w:rPr>
            </w:pPr>
          </w:p>
        </w:tc>
        <w:tc>
          <w:tcPr>
            <w:tcW w:w="718" w:type="dxa"/>
          </w:tcPr>
          <w:p w:rsidR="00814714" w:rsidRPr="00320FEC" w:rsidRDefault="00814714" w:rsidP="00814714">
            <w:pPr>
              <w:rPr>
                <w:rFonts w:asciiTheme="minorHAnsi" w:hAnsiTheme="minorHAnsi"/>
                <w:sz w:val="18"/>
                <w:szCs w:val="18"/>
                <w:lang w:eastAsia="en-US"/>
              </w:rPr>
            </w:pPr>
          </w:p>
        </w:tc>
        <w:tc>
          <w:tcPr>
            <w:tcW w:w="718" w:type="dxa"/>
          </w:tcPr>
          <w:p w:rsidR="00814714" w:rsidRPr="00320FEC" w:rsidRDefault="00814714" w:rsidP="00814714">
            <w:pPr>
              <w:rPr>
                <w:rFonts w:asciiTheme="minorHAnsi" w:hAnsiTheme="minorHAnsi"/>
                <w:sz w:val="18"/>
                <w:szCs w:val="18"/>
                <w:lang w:eastAsia="en-US"/>
              </w:rPr>
            </w:pPr>
          </w:p>
        </w:tc>
        <w:tc>
          <w:tcPr>
            <w:tcW w:w="718" w:type="dxa"/>
          </w:tcPr>
          <w:p w:rsidR="00814714" w:rsidRPr="00320FEC" w:rsidRDefault="00814714" w:rsidP="00814714">
            <w:pPr>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r>
              <w:rPr>
                <w:rFonts w:asciiTheme="minorHAnsi" w:hAnsiTheme="minorHAnsi"/>
                <w:sz w:val="18"/>
                <w:szCs w:val="18"/>
                <w:lang w:eastAsia="en-US"/>
              </w:rPr>
              <w:t>22,690</w:t>
            </w:r>
          </w:p>
        </w:tc>
      </w:tr>
      <w:tr w:rsidR="009C02C9" w:rsidTr="00D61285">
        <w:trPr>
          <w:jc w:val="right"/>
        </w:trPr>
        <w:tc>
          <w:tcPr>
            <w:tcW w:w="4390" w:type="dxa"/>
            <w:gridSpan w:val="2"/>
          </w:tcPr>
          <w:p w:rsidR="00814714" w:rsidRPr="00320FEC" w:rsidRDefault="00814714" w:rsidP="00814714">
            <w:pPr>
              <w:rPr>
                <w:b/>
                <w:bCs/>
                <w:color w:val="1F4E79" w:themeColor="accent1" w:themeShade="80"/>
                <w:sz w:val="18"/>
                <w:szCs w:val="18"/>
                <w:lang w:eastAsia="en-TT"/>
              </w:rPr>
            </w:pPr>
            <w:r w:rsidRPr="00320FEC">
              <w:rPr>
                <w:b/>
                <w:bCs/>
                <w:color w:val="1F4E79" w:themeColor="accent1" w:themeShade="80"/>
                <w:sz w:val="18"/>
                <w:szCs w:val="18"/>
              </w:rPr>
              <w:t>Launch of Tribunal</w:t>
            </w:r>
          </w:p>
          <w:p w:rsidR="00814714" w:rsidRPr="00320FEC" w:rsidRDefault="00814714" w:rsidP="00814714">
            <w:pPr>
              <w:rPr>
                <w:i/>
                <w:iCs/>
                <w:sz w:val="18"/>
                <w:szCs w:val="18"/>
                <w:lang w:eastAsia="en-TT"/>
              </w:rPr>
            </w:pPr>
            <w:r w:rsidRPr="00320FEC">
              <w:rPr>
                <w:i/>
                <w:iCs/>
                <w:sz w:val="18"/>
                <w:szCs w:val="18"/>
              </w:rPr>
              <w:t>80 Guests (Hospitality @ US$35 each)</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2,800</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2,800</w:t>
            </w:r>
          </w:p>
        </w:tc>
      </w:tr>
      <w:tr w:rsidR="009C02C9" w:rsidTr="00D61285">
        <w:trPr>
          <w:trHeight w:val="84"/>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lang w:eastAsia="en-TT"/>
              </w:rPr>
            </w:pPr>
            <w:r w:rsidRPr="00320FEC">
              <w:rPr>
                <w:sz w:val="18"/>
                <w:szCs w:val="18"/>
              </w:rPr>
              <w:t>Venue - CCJ Courtroom</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center"/>
          </w:tcPr>
          <w:p w:rsidR="00814714" w:rsidRPr="00320FEC" w:rsidRDefault="00814714" w:rsidP="00814714">
            <w:pPr>
              <w:rPr>
                <w:sz w:val="18"/>
                <w:szCs w:val="18"/>
              </w:rPr>
            </w:pPr>
            <w:r w:rsidRPr="00320FEC">
              <w:rPr>
                <w:sz w:val="18"/>
                <w:szCs w:val="18"/>
              </w:rPr>
              <w:t>Memorabilia (400@$US25 each)</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lang w:eastAsia="en-TT"/>
              </w:rPr>
            </w:pPr>
            <w:r w:rsidRPr="00320FEC">
              <w:rPr>
                <w:sz w:val="18"/>
                <w:szCs w:val="18"/>
              </w:rPr>
              <w:t xml:space="preserve">   10,000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lang w:eastAsia="en-TT"/>
              </w:rPr>
            </w:pPr>
          </w:p>
        </w:tc>
        <w:tc>
          <w:tcPr>
            <w:tcW w:w="809" w:type="dxa"/>
          </w:tcPr>
          <w:p w:rsidR="00814714" w:rsidRPr="00320FEC" w:rsidRDefault="00814714" w:rsidP="00814714">
            <w:pPr>
              <w:jc w:val="right"/>
              <w:rPr>
                <w:sz w:val="18"/>
                <w:szCs w:val="18"/>
                <w:lang w:eastAsia="en-TT"/>
              </w:rPr>
            </w:pPr>
            <w:r w:rsidRPr="00320FEC">
              <w:rPr>
                <w:sz w:val="18"/>
                <w:szCs w:val="18"/>
              </w:rPr>
              <w:t xml:space="preserve">10,000 </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center"/>
          </w:tcPr>
          <w:p w:rsidR="00814714" w:rsidRPr="00320FEC" w:rsidRDefault="00814714" w:rsidP="00814714">
            <w:pPr>
              <w:rPr>
                <w:sz w:val="18"/>
                <w:szCs w:val="18"/>
              </w:rPr>
            </w:pPr>
            <w:r w:rsidRPr="00320FEC">
              <w:rPr>
                <w:sz w:val="18"/>
                <w:szCs w:val="18"/>
              </w:rPr>
              <w:t>Advertising</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rPr>
            </w:pPr>
            <w:r w:rsidRPr="00320FEC">
              <w:rPr>
                <w:sz w:val="18"/>
                <w:szCs w:val="18"/>
              </w:rPr>
              <w:t xml:space="preserve">     2,000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rPr>
            </w:pPr>
          </w:p>
        </w:tc>
        <w:tc>
          <w:tcPr>
            <w:tcW w:w="809" w:type="dxa"/>
          </w:tcPr>
          <w:p w:rsidR="00814714" w:rsidRPr="00320FEC" w:rsidRDefault="00814714" w:rsidP="00814714">
            <w:pPr>
              <w:jc w:val="right"/>
              <w:rPr>
                <w:sz w:val="18"/>
                <w:szCs w:val="18"/>
              </w:rPr>
            </w:pPr>
            <w:r w:rsidRPr="00320FEC">
              <w:rPr>
                <w:sz w:val="18"/>
                <w:szCs w:val="18"/>
              </w:rPr>
              <w:t xml:space="preserve">  2,000 </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center"/>
          </w:tcPr>
          <w:p w:rsidR="00814714" w:rsidRPr="00320FEC" w:rsidRDefault="00814714" w:rsidP="00814714">
            <w:pPr>
              <w:rPr>
                <w:sz w:val="18"/>
                <w:szCs w:val="18"/>
              </w:rPr>
            </w:pPr>
            <w:r w:rsidRPr="00320FEC">
              <w:rPr>
                <w:sz w:val="18"/>
                <w:szCs w:val="18"/>
              </w:rPr>
              <w:t>Printing</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rPr>
            </w:pPr>
            <w:r w:rsidRPr="00320FEC">
              <w:rPr>
                <w:sz w:val="18"/>
                <w:szCs w:val="18"/>
              </w:rPr>
              <w:t xml:space="preserve">    3,000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rPr>
            </w:pPr>
          </w:p>
        </w:tc>
        <w:tc>
          <w:tcPr>
            <w:tcW w:w="809" w:type="dxa"/>
          </w:tcPr>
          <w:p w:rsidR="00814714" w:rsidRPr="00320FEC" w:rsidRDefault="00814714" w:rsidP="00814714">
            <w:pPr>
              <w:jc w:val="right"/>
              <w:rPr>
                <w:sz w:val="18"/>
                <w:szCs w:val="18"/>
              </w:rPr>
            </w:pPr>
            <w:r w:rsidRPr="00320FEC">
              <w:rPr>
                <w:sz w:val="18"/>
                <w:szCs w:val="18"/>
              </w:rPr>
              <w:t xml:space="preserve"> 3,000 </w:t>
            </w:r>
          </w:p>
        </w:tc>
      </w:tr>
      <w:tr w:rsidR="009C02C9" w:rsidTr="00D61285">
        <w:trPr>
          <w:trHeight w:val="80"/>
          <w:jc w:val="right"/>
        </w:trPr>
        <w:tc>
          <w:tcPr>
            <w:tcW w:w="4390" w:type="dxa"/>
            <w:gridSpan w:val="2"/>
          </w:tcPr>
          <w:p w:rsidR="00814714" w:rsidRPr="00320FEC" w:rsidRDefault="00814714" w:rsidP="00814714">
            <w:pPr>
              <w:rPr>
                <w:i/>
                <w:iCs/>
                <w:sz w:val="18"/>
                <w:szCs w:val="18"/>
                <w:lang w:eastAsia="en-TT"/>
              </w:rPr>
            </w:pPr>
            <w:r w:rsidRPr="00320FEC">
              <w:rPr>
                <w:i/>
                <w:iCs/>
                <w:sz w:val="18"/>
                <w:szCs w:val="18"/>
              </w:rPr>
              <w:t>Airfares</w:t>
            </w:r>
            <w:r>
              <w:rPr>
                <w:i/>
                <w:iCs/>
                <w:sz w:val="18"/>
                <w:szCs w:val="18"/>
              </w:rPr>
              <w:t xml:space="preserve"> (Cost for Recruitment of Judges)</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c>
          <w:tcPr>
            <w:tcW w:w="718" w:type="dxa"/>
            <w:vAlign w:val="bottom"/>
          </w:tcPr>
          <w:p w:rsidR="00814714" w:rsidRPr="00320FEC" w:rsidRDefault="00814714" w:rsidP="00814714">
            <w:pPr>
              <w:jc w:val="right"/>
              <w:rPr>
                <w:sz w:val="18"/>
                <w:szCs w:val="18"/>
              </w:rPr>
            </w:pPr>
            <w:r w:rsidRPr="00320FEC">
              <w:rPr>
                <w:sz w:val="18"/>
                <w:szCs w:val="18"/>
              </w:rPr>
              <w:t xml:space="preserve">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lang w:eastAsia="en-TT"/>
              </w:rPr>
            </w:pPr>
            <w:r w:rsidRPr="00320FEC">
              <w:rPr>
                <w:sz w:val="18"/>
                <w:szCs w:val="18"/>
              </w:rPr>
              <w:t>Judges*5</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rPr>
            </w:pPr>
            <w:r w:rsidRPr="00320FEC">
              <w:rPr>
                <w:sz w:val="18"/>
                <w:szCs w:val="18"/>
              </w:rPr>
              <w:t xml:space="preserve">    6,000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rPr>
            </w:pPr>
          </w:p>
        </w:tc>
        <w:tc>
          <w:tcPr>
            <w:tcW w:w="809" w:type="dxa"/>
          </w:tcPr>
          <w:p w:rsidR="00814714" w:rsidRPr="00320FEC" w:rsidRDefault="00814714" w:rsidP="00814714">
            <w:pPr>
              <w:jc w:val="right"/>
              <w:rPr>
                <w:sz w:val="18"/>
                <w:szCs w:val="18"/>
              </w:rPr>
            </w:pPr>
            <w:r w:rsidRPr="00320FEC">
              <w:rPr>
                <w:sz w:val="18"/>
                <w:szCs w:val="18"/>
              </w:rPr>
              <w:t xml:space="preserve"> 6,000 </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i/>
                <w:iCs/>
                <w:sz w:val="18"/>
                <w:szCs w:val="18"/>
              </w:rPr>
            </w:pPr>
            <w:r w:rsidRPr="00320FEC">
              <w:rPr>
                <w:i/>
                <w:iCs/>
                <w:sz w:val="18"/>
                <w:szCs w:val="18"/>
              </w:rPr>
              <w:t>Per Diem (5 judges)</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rPr>
            </w:pPr>
            <w:r w:rsidRPr="00320FEC">
              <w:rPr>
                <w:sz w:val="18"/>
                <w:szCs w:val="18"/>
              </w:rPr>
              <w:t xml:space="preserve">     1,500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rPr>
            </w:pPr>
          </w:p>
        </w:tc>
        <w:tc>
          <w:tcPr>
            <w:tcW w:w="809" w:type="dxa"/>
          </w:tcPr>
          <w:p w:rsidR="00814714" w:rsidRPr="00320FEC" w:rsidRDefault="00814714" w:rsidP="00814714">
            <w:pPr>
              <w:jc w:val="right"/>
              <w:rPr>
                <w:sz w:val="18"/>
                <w:szCs w:val="18"/>
              </w:rPr>
            </w:pPr>
            <w:r w:rsidRPr="00320FEC">
              <w:rPr>
                <w:sz w:val="18"/>
                <w:szCs w:val="18"/>
              </w:rPr>
              <w:t xml:space="preserve">  1,500 </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i/>
                <w:iCs/>
                <w:sz w:val="18"/>
                <w:szCs w:val="18"/>
              </w:rPr>
            </w:pPr>
            <w:r w:rsidRPr="00320FEC">
              <w:rPr>
                <w:i/>
                <w:iCs/>
                <w:sz w:val="18"/>
                <w:szCs w:val="18"/>
              </w:rPr>
              <w:t>Accommodation (5 judges)</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rPr>
            </w:pPr>
            <w:r w:rsidRPr="00320FEC">
              <w:rPr>
                <w:sz w:val="18"/>
                <w:szCs w:val="18"/>
              </w:rPr>
              <w:t xml:space="preserve">     4,500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rPr>
            </w:pPr>
          </w:p>
        </w:tc>
        <w:tc>
          <w:tcPr>
            <w:tcW w:w="809" w:type="dxa"/>
          </w:tcPr>
          <w:p w:rsidR="00814714" w:rsidRPr="00320FEC" w:rsidRDefault="00814714" w:rsidP="00814714">
            <w:pPr>
              <w:jc w:val="right"/>
              <w:rPr>
                <w:sz w:val="18"/>
                <w:szCs w:val="18"/>
              </w:rPr>
            </w:pPr>
            <w:r w:rsidRPr="00320FEC">
              <w:rPr>
                <w:sz w:val="18"/>
                <w:szCs w:val="18"/>
              </w:rPr>
              <w:t xml:space="preserve">  4,500 </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rPr>
            </w:pPr>
            <w:r w:rsidRPr="00320FEC">
              <w:rPr>
                <w:sz w:val="18"/>
                <w:szCs w:val="18"/>
              </w:rPr>
              <w:t>Miscellaneous</w:t>
            </w:r>
            <w:r>
              <w:rPr>
                <w:sz w:val="18"/>
                <w:szCs w:val="18"/>
              </w:rPr>
              <w:t xml:space="preserve"> (Ads and Admin Costs for Recruitment)</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sz w:val="18"/>
                <w:szCs w:val="18"/>
              </w:rPr>
            </w:pPr>
            <w:r w:rsidRPr="00320FEC">
              <w:rPr>
                <w:sz w:val="18"/>
                <w:szCs w:val="18"/>
              </w:rPr>
              <w:t xml:space="preserve">     5,000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sz w:val="18"/>
                <w:szCs w:val="18"/>
              </w:rPr>
            </w:pPr>
          </w:p>
        </w:tc>
        <w:tc>
          <w:tcPr>
            <w:tcW w:w="809" w:type="dxa"/>
          </w:tcPr>
          <w:p w:rsidR="00814714" w:rsidRPr="00320FEC" w:rsidRDefault="00814714" w:rsidP="00814714">
            <w:pPr>
              <w:jc w:val="right"/>
              <w:rPr>
                <w:sz w:val="18"/>
                <w:szCs w:val="18"/>
              </w:rPr>
            </w:pPr>
            <w:r w:rsidRPr="00320FEC">
              <w:rPr>
                <w:sz w:val="18"/>
                <w:szCs w:val="18"/>
              </w:rPr>
              <w:t xml:space="preserve">  5,000 </w:t>
            </w:r>
          </w:p>
        </w:tc>
      </w:tr>
      <w:tr w:rsidR="009C02C9" w:rsidTr="00D61285">
        <w:trPr>
          <w:jc w:val="right"/>
        </w:trPr>
        <w:tc>
          <w:tcPr>
            <w:tcW w:w="4390" w:type="dxa"/>
            <w:gridSpan w:val="2"/>
            <w:vAlign w:val="bottom"/>
          </w:tcPr>
          <w:p w:rsidR="00814714" w:rsidRPr="00320FEC" w:rsidRDefault="00814714" w:rsidP="00814714">
            <w:pPr>
              <w:rPr>
                <w:b/>
                <w:bCs/>
                <w:sz w:val="18"/>
                <w:szCs w:val="18"/>
                <w:lang w:eastAsia="en-TT"/>
              </w:rPr>
            </w:pPr>
            <w:r w:rsidRPr="00320FEC">
              <w:rPr>
                <w:b/>
                <w:bCs/>
                <w:sz w:val="18"/>
                <w:szCs w:val="18"/>
              </w:rPr>
              <w:t xml:space="preserve">Total Launch Cost </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34,800</w:t>
            </w:r>
          </w:p>
        </w:tc>
        <w:tc>
          <w:tcPr>
            <w:tcW w:w="718" w:type="dxa"/>
            <w:vAlign w:val="bottom"/>
          </w:tcPr>
          <w:p w:rsidR="00814714" w:rsidRPr="00320FEC" w:rsidRDefault="00814714" w:rsidP="00814714">
            <w:pPr>
              <w:jc w:val="right"/>
              <w:rPr>
                <w:sz w:val="18"/>
                <w:szCs w:val="18"/>
                <w:lang w:eastAsia="en-TT"/>
              </w:rPr>
            </w:pPr>
            <w:r w:rsidRPr="00320FEC">
              <w:rPr>
                <w:sz w:val="18"/>
                <w:szCs w:val="18"/>
              </w:rPr>
              <w:t xml:space="preserve">           </w:t>
            </w: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9C02C9" w:rsidRDefault="00814714" w:rsidP="00814714">
            <w:pPr>
              <w:jc w:val="right"/>
              <w:rPr>
                <w:rFonts w:asciiTheme="minorHAnsi" w:hAnsiTheme="minorHAnsi"/>
                <w:b/>
                <w:sz w:val="18"/>
                <w:szCs w:val="18"/>
                <w:lang w:eastAsia="en-US"/>
              </w:rPr>
            </w:pPr>
            <w:r w:rsidRPr="009C02C9">
              <w:rPr>
                <w:rFonts w:asciiTheme="minorHAnsi" w:hAnsiTheme="minorHAnsi"/>
                <w:b/>
                <w:sz w:val="18"/>
                <w:szCs w:val="18"/>
                <w:lang w:eastAsia="en-US"/>
              </w:rPr>
              <w:t>34,800</w:t>
            </w:r>
          </w:p>
        </w:tc>
      </w:tr>
      <w:tr w:rsidR="009C02C9" w:rsidTr="00D61285">
        <w:trPr>
          <w:jc w:val="right"/>
        </w:trPr>
        <w:tc>
          <w:tcPr>
            <w:tcW w:w="4390" w:type="dxa"/>
            <w:gridSpan w:val="2"/>
            <w:vAlign w:val="bottom"/>
          </w:tcPr>
          <w:p w:rsidR="00814714" w:rsidRPr="00320FEC" w:rsidRDefault="00814714" w:rsidP="00814714">
            <w:pPr>
              <w:rPr>
                <w:b/>
                <w:bCs/>
                <w:sz w:val="18"/>
                <w:szCs w:val="18"/>
              </w:rPr>
            </w:pPr>
            <w:r w:rsidRPr="00320FEC">
              <w:rPr>
                <w:b/>
                <w:bCs/>
                <w:sz w:val="18"/>
                <w:szCs w:val="18"/>
              </w:rPr>
              <w:t>Salaries &amp; Allowances (CCJ Employees)</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c>
          <w:tcPr>
            <w:tcW w:w="809"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0</w:t>
            </w:r>
          </w:p>
        </w:tc>
      </w:tr>
      <w:tr w:rsidR="009C02C9" w:rsidTr="00D61285">
        <w:trPr>
          <w:jc w:val="right"/>
        </w:trPr>
        <w:tc>
          <w:tcPr>
            <w:tcW w:w="4390" w:type="dxa"/>
            <w:gridSpan w:val="2"/>
            <w:vAlign w:val="bottom"/>
          </w:tcPr>
          <w:p w:rsidR="00814714" w:rsidRPr="00320FEC" w:rsidRDefault="00814714" w:rsidP="00814714">
            <w:pPr>
              <w:rPr>
                <w:b/>
                <w:bCs/>
                <w:sz w:val="18"/>
                <w:szCs w:val="18"/>
              </w:rPr>
            </w:pPr>
            <w:r w:rsidRPr="00320FEC">
              <w:rPr>
                <w:b/>
                <w:bCs/>
                <w:color w:val="1F4E79" w:themeColor="accent1" w:themeShade="80"/>
                <w:sz w:val="18"/>
                <w:szCs w:val="18"/>
              </w:rPr>
              <w:t xml:space="preserve">Variable Costs </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p>
        </w:tc>
      </w:tr>
      <w:tr w:rsidR="009C02C9" w:rsidTr="00D61285">
        <w:trPr>
          <w:jc w:val="right"/>
        </w:trPr>
        <w:tc>
          <w:tcPr>
            <w:tcW w:w="4390" w:type="dxa"/>
            <w:gridSpan w:val="2"/>
            <w:vAlign w:val="bottom"/>
          </w:tcPr>
          <w:p w:rsidR="00814714" w:rsidRPr="00320FEC" w:rsidRDefault="00814714" w:rsidP="00814714">
            <w:pPr>
              <w:rPr>
                <w:b/>
                <w:bCs/>
                <w:sz w:val="18"/>
                <w:szCs w:val="18"/>
              </w:rPr>
            </w:pPr>
            <w:r>
              <w:rPr>
                <w:b/>
                <w:bCs/>
                <w:sz w:val="18"/>
                <w:szCs w:val="18"/>
              </w:rPr>
              <w:t xml:space="preserve">Sittings </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lang w:eastAsia="en-TT"/>
              </w:rPr>
            </w:pPr>
            <w:r w:rsidRPr="00320FEC">
              <w:rPr>
                <w:sz w:val="18"/>
                <w:szCs w:val="18"/>
              </w:rPr>
              <w:t xml:space="preserve">3 Judges @ $3000 per session </w:t>
            </w:r>
            <w:r>
              <w:rPr>
                <w:sz w:val="18"/>
                <w:szCs w:val="18"/>
              </w:rPr>
              <w:t xml:space="preserve"> (Honorarium)</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9,000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9,000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9,000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9,000</w:t>
            </w:r>
          </w:p>
        </w:tc>
        <w:tc>
          <w:tcPr>
            <w:tcW w:w="809" w:type="dxa"/>
          </w:tcPr>
          <w:p w:rsidR="00814714" w:rsidRPr="00320FEC" w:rsidRDefault="00814714" w:rsidP="00814714">
            <w:pPr>
              <w:jc w:val="right"/>
              <w:rPr>
                <w:rFonts w:asciiTheme="minorHAnsi" w:hAnsiTheme="minorHAnsi"/>
                <w:sz w:val="18"/>
                <w:szCs w:val="18"/>
                <w:lang w:eastAsia="en-US"/>
              </w:rPr>
            </w:pPr>
            <w:r>
              <w:rPr>
                <w:rFonts w:asciiTheme="minorHAnsi" w:hAnsiTheme="minorHAnsi"/>
                <w:sz w:val="18"/>
                <w:szCs w:val="18"/>
                <w:lang w:eastAsia="en-US"/>
              </w:rPr>
              <w:t>36,000</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rPr>
            </w:pPr>
            <w:r w:rsidRPr="00320FEC">
              <w:rPr>
                <w:sz w:val="18"/>
                <w:szCs w:val="18"/>
              </w:rPr>
              <w:t>3 Airfares @ $1800 per judge</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5,400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5,400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5,400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5,400</w:t>
            </w:r>
          </w:p>
        </w:tc>
        <w:tc>
          <w:tcPr>
            <w:tcW w:w="809" w:type="dxa"/>
          </w:tcPr>
          <w:p w:rsidR="00814714" w:rsidRPr="00320FEC" w:rsidRDefault="00814714" w:rsidP="00814714">
            <w:pPr>
              <w:jc w:val="right"/>
              <w:rPr>
                <w:rFonts w:asciiTheme="minorHAnsi" w:hAnsiTheme="minorHAnsi"/>
                <w:sz w:val="18"/>
                <w:szCs w:val="18"/>
                <w:lang w:eastAsia="en-US"/>
              </w:rPr>
            </w:pPr>
            <w:r>
              <w:rPr>
                <w:rFonts w:asciiTheme="minorHAnsi" w:hAnsiTheme="minorHAnsi"/>
                <w:sz w:val="18"/>
                <w:szCs w:val="18"/>
                <w:lang w:eastAsia="en-US"/>
              </w:rPr>
              <w:t>21,600</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rPr>
            </w:pPr>
            <w:r w:rsidRPr="00320FEC">
              <w:rPr>
                <w:sz w:val="18"/>
                <w:szCs w:val="18"/>
              </w:rPr>
              <w:t>3 Accommodation @ $300 p/room p/night p/ judge</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3,600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3,600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3,600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3,600</w:t>
            </w:r>
          </w:p>
        </w:tc>
        <w:tc>
          <w:tcPr>
            <w:tcW w:w="809" w:type="dxa"/>
          </w:tcPr>
          <w:p w:rsidR="00814714" w:rsidRPr="00320FEC" w:rsidRDefault="00814714" w:rsidP="00814714">
            <w:pPr>
              <w:jc w:val="right"/>
              <w:rPr>
                <w:rFonts w:asciiTheme="minorHAnsi" w:hAnsiTheme="minorHAnsi"/>
                <w:sz w:val="18"/>
                <w:szCs w:val="18"/>
                <w:lang w:eastAsia="en-US"/>
              </w:rPr>
            </w:pPr>
            <w:r>
              <w:rPr>
                <w:rFonts w:asciiTheme="minorHAnsi" w:hAnsiTheme="minorHAnsi"/>
                <w:sz w:val="18"/>
                <w:szCs w:val="18"/>
                <w:lang w:eastAsia="en-US"/>
              </w:rPr>
              <w:t>14,400</w:t>
            </w:r>
          </w:p>
        </w:tc>
      </w:tr>
      <w:tr w:rsidR="009C02C9" w:rsidTr="00D61285">
        <w:trPr>
          <w:jc w:val="right"/>
        </w:trPr>
        <w:tc>
          <w:tcPr>
            <w:tcW w:w="278" w:type="dxa"/>
          </w:tcPr>
          <w:p w:rsidR="00814714" w:rsidRPr="00320FEC" w:rsidRDefault="00814714" w:rsidP="00814714">
            <w:pPr>
              <w:rPr>
                <w:rFonts w:asciiTheme="minorHAnsi" w:hAnsiTheme="minorHAnsi"/>
                <w:sz w:val="18"/>
                <w:szCs w:val="18"/>
                <w:lang w:eastAsia="en-US"/>
              </w:rPr>
            </w:pPr>
          </w:p>
        </w:tc>
        <w:tc>
          <w:tcPr>
            <w:tcW w:w="4112" w:type="dxa"/>
            <w:vAlign w:val="bottom"/>
          </w:tcPr>
          <w:p w:rsidR="00814714" w:rsidRPr="00320FEC" w:rsidRDefault="00814714" w:rsidP="00814714">
            <w:pPr>
              <w:rPr>
                <w:sz w:val="18"/>
                <w:szCs w:val="18"/>
              </w:rPr>
            </w:pPr>
            <w:r w:rsidRPr="00320FEC">
              <w:rPr>
                <w:sz w:val="18"/>
                <w:szCs w:val="18"/>
              </w:rPr>
              <w:t>4 days per diem per 3 Judges</w:t>
            </w:r>
            <w:r w:rsidR="00FC4DB8">
              <w:rPr>
                <w:sz w:val="18"/>
                <w:szCs w:val="18"/>
              </w:rPr>
              <w:t xml:space="preserve"> (US$200 p/day)</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9C02C9" w:rsidP="00814714">
            <w:pPr>
              <w:jc w:val="right"/>
              <w:rPr>
                <w:rFonts w:asciiTheme="minorHAnsi" w:hAnsiTheme="minorHAnsi"/>
                <w:sz w:val="18"/>
                <w:szCs w:val="18"/>
                <w:lang w:eastAsia="en-US"/>
              </w:rPr>
            </w:pPr>
            <w:r>
              <w:rPr>
                <w:rFonts w:asciiTheme="minorHAnsi" w:hAnsiTheme="minorHAnsi"/>
                <w:sz w:val="18"/>
                <w:szCs w:val="18"/>
                <w:lang w:eastAsia="en-US"/>
              </w:rPr>
              <w:t>2,400</w:t>
            </w:r>
          </w:p>
        </w:tc>
        <w:tc>
          <w:tcPr>
            <w:tcW w:w="718" w:type="dxa"/>
          </w:tcPr>
          <w:p w:rsidR="00814714" w:rsidRPr="00320FEC" w:rsidRDefault="009C02C9" w:rsidP="00814714">
            <w:pPr>
              <w:jc w:val="right"/>
              <w:rPr>
                <w:rFonts w:asciiTheme="minorHAnsi" w:hAnsiTheme="minorHAnsi"/>
                <w:sz w:val="18"/>
                <w:szCs w:val="18"/>
                <w:lang w:eastAsia="en-US"/>
              </w:rPr>
            </w:pPr>
            <w:r>
              <w:rPr>
                <w:rFonts w:asciiTheme="minorHAnsi" w:hAnsiTheme="minorHAnsi"/>
                <w:sz w:val="18"/>
                <w:szCs w:val="18"/>
                <w:lang w:eastAsia="en-US"/>
              </w:rPr>
              <w:t>2,400</w:t>
            </w:r>
          </w:p>
        </w:tc>
        <w:tc>
          <w:tcPr>
            <w:tcW w:w="718" w:type="dxa"/>
          </w:tcPr>
          <w:p w:rsidR="00814714" w:rsidRPr="00320FEC" w:rsidRDefault="009C02C9" w:rsidP="00814714">
            <w:pPr>
              <w:jc w:val="right"/>
              <w:rPr>
                <w:rFonts w:asciiTheme="minorHAnsi" w:hAnsiTheme="minorHAnsi"/>
                <w:sz w:val="18"/>
                <w:szCs w:val="18"/>
                <w:lang w:eastAsia="en-US"/>
              </w:rPr>
            </w:pPr>
            <w:r>
              <w:rPr>
                <w:rFonts w:asciiTheme="minorHAnsi" w:hAnsiTheme="minorHAnsi"/>
                <w:sz w:val="18"/>
                <w:szCs w:val="18"/>
                <w:lang w:eastAsia="en-US"/>
              </w:rPr>
              <w:t>2,400</w:t>
            </w:r>
          </w:p>
        </w:tc>
        <w:tc>
          <w:tcPr>
            <w:tcW w:w="718" w:type="dxa"/>
          </w:tcPr>
          <w:p w:rsidR="00814714" w:rsidRPr="00320FEC" w:rsidRDefault="009C02C9" w:rsidP="00814714">
            <w:pPr>
              <w:jc w:val="right"/>
              <w:rPr>
                <w:rFonts w:asciiTheme="minorHAnsi" w:hAnsiTheme="minorHAnsi"/>
                <w:sz w:val="18"/>
                <w:szCs w:val="18"/>
                <w:lang w:eastAsia="en-US"/>
              </w:rPr>
            </w:pPr>
            <w:r>
              <w:rPr>
                <w:rFonts w:asciiTheme="minorHAnsi" w:hAnsiTheme="minorHAnsi"/>
                <w:sz w:val="18"/>
                <w:szCs w:val="18"/>
                <w:lang w:eastAsia="en-US"/>
              </w:rPr>
              <w:t>2,400</w:t>
            </w:r>
          </w:p>
        </w:tc>
        <w:tc>
          <w:tcPr>
            <w:tcW w:w="809" w:type="dxa"/>
          </w:tcPr>
          <w:p w:rsidR="00814714" w:rsidRPr="00320FEC" w:rsidRDefault="009C02C9" w:rsidP="009C02C9">
            <w:pPr>
              <w:jc w:val="right"/>
              <w:rPr>
                <w:rFonts w:asciiTheme="minorHAnsi" w:hAnsiTheme="minorHAnsi"/>
                <w:sz w:val="18"/>
                <w:szCs w:val="18"/>
                <w:lang w:eastAsia="en-US"/>
              </w:rPr>
            </w:pPr>
            <w:r>
              <w:rPr>
                <w:rFonts w:asciiTheme="minorHAnsi" w:hAnsiTheme="minorHAnsi"/>
                <w:sz w:val="18"/>
                <w:szCs w:val="18"/>
                <w:lang w:eastAsia="en-US"/>
              </w:rPr>
              <w:t>9,600</w:t>
            </w:r>
          </w:p>
        </w:tc>
      </w:tr>
      <w:tr w:rsidR="009C02C9" w:rsidTr="00D61285">
        <w:trPr>
          <w:jc w:val="right"/>
        </w:trPr>
        <w:tc>
          <w:tcPr>
            <w:tcW w:w="4390" w:type="dxa"/>
            <w:gridSpan w:val="2"/>
          </w:tcPr>
          <w:p w:rsidR="00814714" w:rsidRPr="00320FEC" w:rsidRDefault="00814714" w:rsidP="00814714">
            <w:pPr>
              <w:rPr>
                <w:b/>
                <w:bCs/>
                <w:sz w:val="18"/>
                <w:szCs w:val="18"/>
                <w:lang w:eastAsia="en-TT"/>
              </w:rPr>
            </w:pPr>
            <w:r w:rsidRPr="00320FEC">
              <w:rPr>
                <w:b/>
                <w:bCs/>
                <w:sz w:val="18"/>
                <w:szCs w:val="18"/>
              </w:rPr>
              <w:t xml:space="preserve">Total Cost </w:t>
            </w:r>
            <w:r>
              <w:rPr>
                <w:b/>
                <w:bCs/>
                <w:sz w:val="18"/>
                <w:szCs w:val="18"/>
              </w:rPr>
              <w:t>for Sittings</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21,600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21,600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21,600</w:t>
            </w:r>
          </w:p>
        </w:tc>
        <w:tc>
          <w:tcPr>
            <w:tcW w:w="718" w:type="dxa"/>
          </w:tcPr>
          <w:p w:rsidR="00814714" w:rsidRPr="00320FEC" w:rsidRDefault="00814714" w:rsidP="00814714">
            <w:pPr>
              <w:jc w:val="right"/>
              <w:rPr>
                <w:rFonts w:asciiTheme="minorHAnsi" w:hAnsiTheme="minorHAnsi"/>
                <w:sz w:val="18"/>
                <w:szCs w:val="18"/>
                <w:lang w:eastAsia="en-US"/>
              </w:rPr>
            </w:pPr>
            <w:r w:rsidRPr="00320FEC">
              <w:rPr>
                <w:rFonts w:asciiTheme="minorHAnsi" w:hAnsiTheme="minorHAnsi"/>
                <w:sz w:val="18"/>
                <w:szCs w:val="18"/>
                <w:lang w:eastAsia="en-US"/>
              </w:rPr>
              <w:t>21,600</w:t>
            </w:r>
          </w:p>
        </w:tc>
        <w:tc>
          <w:tcPr>
            <w:tcW w:w="809" w:type="dxa"/>
          </w:tcPr>
          <w:p w:rsidR="00814714" w:rsidRPr="009C02C9" w:rsidRDefault="00814714" w:rsidP="009C02C9">
            <w:pPr>
              <w:jc w:val="right"/>
              <w:rPr>
                <w:rFonts w:asciiTheme="minorHAnsi" w:hAnsiTheme="minorHAnsi"/>
                <w:b/>
                <w:sz w:val="18"/>
                <w:szCs w:val="18"/>
                <w:lang w:eastAsia="en-US"/>
              </w:rPr>
            </w:pPr>
            <w:r w:rsidRPr="009C02C9">
              <w:rPr>
                <w:rFonts w:asciiTheme="minorHAnsi" w:hAnsiTheme="minorHAnsi"/>
                <w:b/>
                <w:sz w:val="18"/>
                <w:szCs w:val="18"/>
                <w:lang w:eastAsia="en-US"/>
              </w:rPr>
              <w:t>8</w:t>
            </w:r>
            <w:r w:rsidR="009C02C9" w:rsidRPr="009C02C9">
              <w:rPr>
                <w:rFonts w:asciiTheme="minorHAnsi" w:hAnsiTheme="minorHAnsi"/>
                <w:b/>
                <w:sz w:val="18"/>
                <w:szCs w:val="18"/>
                <w:lang w:eastAsia="en-US"/>
              </w:rPr>
              <w:t>1</w:t>
            </w:r>
            <w:r w:rsidRPr="009C02C9">
              <w:rPr>
                <w:rFonts w:asciiTheme="minorHAnsi" w:hAnsiTheme="minorHAnsi"/>
                <w:b/>
                <w:sz w:val="18"/>
                <w:szCs w:val="18"/>
                <w:lang w:eastAsia="en-US"/>
              </w:rPr>
              <w:t>,</w:t>
            </w:r>
            <w:r w:rsidR="009C02C9" w:rsidRPr="009C02C9">
              <w:rPr>
                <w:rFonts w:asciiTheme="minorHAnsi" w:hAnsiTheme="minorHAnsi"/>
                <w:b/>
                <w:sz w:val="18"/>
                <w:szCs w:val="18"/>
                <w:lang w:eastAsia="en-US"/>
              </w:rPr>
              <w:t>6</w:t>
            </w:r>
            <w:r w:rsidRPr="009C02C9">
              <w:rPr>
                <w:rFonts w:asciiTheme="minorHAnsi" w:hAnsiTheme="minorHAnsi"/>
                <w:b/>
                <w:sz w:val="18"/>
                <w:szCs w:val="18"/>
                <w:lang w:eastAsia="en-US"/>
              </w:rPr>
              <w:t>00</w:t>
            </w:r>
          </w:p>
        </w:tc>
      </w:tr>
      <w:tr w:rsidR="009C02C9" w:rsidTr="00D61285">
        <w:trPr>
          <w:trHeight w:val="245"/>
          <w:jc w:val="right"/>
        </w:trPr>
        <w:tc>
          <w:tcPr>
            <w:tcW w:w="4390" w:type="dxa"/>
            <w:gridSpan w:val="2"/>
          </w:tcPr>
          <w:p w:rsidR="00814714" w:rsidRPr="00320FEC" w:rsidRDefault="00814714" w:rsidP="00814714">
            <w:pPr>
              <w:rPr>
                <w:rFonts w:asciiTheme="minorHAnsi" w:hAnsiTheme="minorHAnsi"/>
                <w:b/>
                <w:sz w:val="18"/>
                <w:szCs w:val="18"/>
                <w:lang w:eastAsia="en-US"/>
              </w:rPr>
            </w:pPr>
            <w:r w:rsidRPr="00320FEC">
              <w:rPr>
                <w:rFonts w:asciiTheme="minorHAnsi" w:hAnsiTheme="minorHAnsi"/>
                <w:b/>
                <w:color w:val="1F4E79" w:themeColor="accent1" w:themeShade="80"/>
                <w:sz w:val="18"/>
                <w:szCs w:val="18"/>
                <w:lang w:eastAsia="en-US"/>
              </w:rPr>
              <w:t>Recurrent Cost</w:t>
            </w:r>
          </w:p>
        </w:tc>
        <w:tc>
          <w:tcPr>
            <w:tcW w:w="735" w:type="dxa"/>
          </w:tcPr>
          <w:p w:rsidR="00814714" w:rsidRPr="00320FEC" w:rsidRDefault="00814714" w:rsidP="00814714">
            <w:pPr>
              <w:rPr>
                <w:rFonts w:asciiTheme="minorHAnsi" w:hAnsiTheme="minorHAnsi"/>
                <w:sz w:val="18"/>
                <w:szCs w:val="18"/>
                <w:lang w:eastAsia="en-US"/>
              </w:rPr>
            </w:pPr>
          </w:p>
        </w:tc>
        <w:tc>
          <w:tcPr>
            <w:tcW w:w="844"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718" w:type="dxa"/>
          </w:tcPr>
          <w:p w:rsidR="00814714" w:rsidRPr="00320FEC" w:rsidRDefault="00814714" w:rsidP="00814714">
            <w:pPr>
              <w:jc w:val="right"/>
              <w:rPr>
                <w:rFonts w:asciiTheme="minorHAnsi" w:hAnsiTheme="minorHAnsi"/>
                <w:sz w:val="18"/>
                <w:szCs w:val="18"/>
                <w:lang w:eastAsia="en-US"/>
              </w:rPr>
            </w:pPr>
          </w:p>
        </w:tc>
        <w:tc>
          <w:tcPr>
            <w:tcW w:w="809" w:type="dxa"/>
          </w:tcPr>
          <w:p w:rsidR="00814714" w:rsidRPr="00320FEC" w:rsidRDefault="00814714" w:rsidP="00814714">
            <w:pPr>
              <w:jc w:val="right"/>
              <w:rPr>
                <w:rFonts w:asciiTheme="minorHAnsi" w:hAnsiTheme="minorHAnsi"/>
                <w:sz w:val="18"/>
                <w:szCs w:val="18"/>
                <w:lang w:eastAsia="en-US"/>
              </w:rPr>
            </w:pPr>
          </w:p>
        </w:tc>
      </w:tr>
      <w:tr w:rsidR="009C02C9" w:rsidTr="00D61285">
        <w:trPr>
          <w:jc w:val="right"/>
        </w:trPr>
        <w:tc>
          <w:tcPr>
            <w:tcW w:w="4390" w:type="dxa"/>
            <w:gridSpan w:val="2"/>
            <w:vAlign w:val="bottom"/>
          </w:tcPr>
          <w:p w:rsidR="006475C9" w:rsidRPr="00320FEC" w:rsidRDefault="006475C9" w:rsidP="006475C9">
            <w:pPr>
              <w:rPr>
                <w:sz w:val="18"/>
                <w:szCs w:val="18"/>
                <w:lang w:eastAsia="en-TT"/>
              </w:rPr>
            </w:pPr>
            <w:r w:rsidRPr="00320FEC">
              <w:rPr>
                <w:sz w:val="18"/>
                <w:szCs w:val="18"/>
              </w:rPr>
              <w:t>Advertising</w:t>
            </w:r>
            <w:r>
              <w:rPr>
                <w:sz w:val="18"/>
                <w:szCs w:val="18"/>
              </w:rPr>
              <w:t>/Notice</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lang w:eastAsia="en-TT"/>
              </w:rPr>
            </w:pPr>
            <w:r w:rsidRPr="00320FEC">
              <w:rPr>
                <w:sz w:val="18"/>
                <w:szCs w:val="18"/>
              </w:rPr>
              <w:t xml:space="preserve">   1,200 </w:t>
            </w:r>
          </w:p>
        </w:tc>
        <w:tc>
          <w:tcPr>
            <w:tcW w:w="718" w:type="dxa"/>
            <w:vAlign w:val="bottom"/>
          </w:tcPr>
          <w:p w:rsidR="006475C9" w:rsidRPr="00320FEC" w:rsidRDefault="006475C9" w:rsidP="006475C9">
            <w:pPr>
              <w:jc w:val="right"/>
              <w:rPr>
                <w:sz w:val="18"/>
                <w:szCs w:val="18"/>
                <w:lang w:eastAsia="en-TT"/>
              </w:rPr>
            </w:pPr>
            <w:r w:rsidRPr="00320FEC">
              <w:rPr>
                <w:sz w:val="18"/>
                <w:szCs w:val="18"/>
              </w:rPr>
              <w:t xml:space="preserve"> 1,200 </w:t>
            </w:r>
          </w:p>
        </w:tc>
        <w:tc>
          <w:tcPr>
            <w:tcW w:w="718" w:type="dxa"/>
            <w:vAlign w:val="bottom"/>
          </w:tcPr>
          <w:p w:rsidR="006475C9" w:rsidRPr="00320FEC" w:rsidRDefault="006475C9" w:rsidP="006475C9">
            <w:pPr>
              <w:jc w:val="right"/>
              <w:rPr>
                <w:sz w:val="18"/>
                <w:szCs w:val="18"/>
                <w:lang w:eastAsia="en-TT"/>
              </w:rPr>
            </w:pPr>
            <w:r w:rsidRPr="00320FEC">
              <w:rPr>
                <w:sz w:val="18"/>
                <w:szCs w:val="18"/>
              </w:rPr>
              <w:t xml:space="preserve"> 1,200 </w:t>
            </w:r>
          </w:p>
        </w:tc>
        <w:tc>
          <w:tcPr>
            <w:tcW w:w="718" w:type="dxa"/>
            <w:vAlign w:val="bottom"/>
          </w:tcPr>
          <w:p w:rsidR="006475C9" w:rsidRPr="00320FEC" w:rsidRDefault="006475C9" w:rsidP="006475C9">
            <w:pPr>
              <w:jc w:val="right"/>
              <w:rPr>
                <w:sz w:val="18"/>
                <w:szCs w:val="18"/>
                <w:lang w:eastAsia="en-TT"/>
              </w:rPr>
            </w:pPr>
            <w:r w:rsidRPr="00320FEC">
              <w:rPr>
                <w:sz w:val="18"/>
                <w:szCs w:val="18"/>
              </w:rPr>
              <w:t xml:space="preserve"> 1,200 </w:t>
            </w:r>
          </w:p>
        </w:tc>
        <w:tc>
          <w:tcPr>
            <w:tcW w:w="809" w:type="dxa"/>
            <w:vAlign w:val="bottom"/>
          </w:tcPr>
          <w:p w:rsidR="006475C9" w:rsidRPr="00320FEC" w:rsidRDefault="006475C9" w:rsidP="006475C9">
            <w:pPr>
              <w:jc w:val="right"/>
              <w:rPr>
                <w:sz w:val="18"/>
                <w:szCs w:val="18"/>
                <w:lang w:eastAsia="en-TT"/>
              </w:rPr>
            </w:pPr>
            <w:r>
              <w:rPr>
                <w:sz w:val="18"/>
                <w:szCs w:val="18"/>
                <w:lang w:eastAsia="en-TT"/>
              </w:rPr>
              <w:t>4,800</w:t>
            </w:r>
          </w:p>
        </w:tc>
      </w:tr>
      <w:tr w:rsidR="009C02C9" w:rsidTr="00D61285">
        <w:trPr>
          <w:jc w:val="right"/>
        </w:trPr>
        <w:tc>
          <w:tcPr>
            <w:tcW w:w="4390" w:type="dxa"/>
            <w:gridSpan w:val="2"/>
            <w:vAlign w:val="center"/>
          </w:tcPr>
          <w:p w:rsidR="006475C9" w:rsidRPr="00320FEC" w:rsidRDefault="006475C9" w:rsidP="006475C9">
            <w:pPr>
              <w:rPr>
                <w:sz w:val="18"/>
                <w:szCs w:val="18"/>
              </w:rPr>
            </w:pPr>
            <w:r>
              <w:rPr>
                <w:sz w:val="18"/>
                <w:szCs w:val="18"/>
              </w:rPr>
              <w:t xml:space="preserve">Contingencies for </w:t>
            </w:r>
            <w:r w:rsidRPr="00320FEC">
              <w:rPr>
                <w:sz w:val="18"/>
                <w:szCs w:val="18"/>
              </w:rPr>
              <w:t xml:space="preserve">Flight </w:t>
            </w:r>
            <w:r>
              <w:rPr>
                <w:sz w:val="18"/>
                <w:szCs w:val="18"/>
              </w:rPr>
              <w:t>adjustment</w:t>
            </w:r>
            <w:r w:rsidRPr="00320FEC">
              <w:rPr>
                <w:sz w:val="18"/>
                <w:szCs w:val="18"/>
              </w:rPr>
              <w:t>s</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Pr>
                <w:sz w:val="18"/>
                <w:szCs w:val="18"/>
              </w:rPr>
              <w:t>300</w:t>
            </w:r>
            <w:r w:rsidRPr="00320FEC">
              <w:rPr>
                <w:sz w:val="18"/>
                <w:szCs w:val="18"/>
              </w:rPr>
              <w:t xml:space="preserve"> </w:t>
            </w:r>
          </w:p>
        </w:tc>
        <w:tc>
          <w:tcPr>
            <w:tcW w:w="718" w:type="dxa"/>
            <w:vAlign w:val="bottom"/>
          </w:tcPr>
          <w:p w:rsidR="006475C9" w:rsidRPr="00320FEC" w:rsidRDefault="006475C9" w:rsidP="006475C9">
            <w:pPr>
              <w:jc w:val="right"/>
              <w:rPr>
                <w:sz w:val="18"/>
                <w:szCs w:val="18"/>
              </w:rPr>
            </w:pPr>
            <w:r>
              <w:rPr>
                <w:sz w:val="18"/>
                <w:szCs w:val="18"/>
              </w:rPr>
              <w:t>300</w:t>
            </w:r>
            <w:r w:rsidRPr="00320FEC">
              <w:rPr>
                <w:sz w:val="18"/>
                <w:szCs w:val="18"/>
              </w:rPr>
              <w:t xml:space="preserve"> </w:t>
            </w:r>
          </w:p>
        </w:tc>
        <w:tc>
          <w:tcPr>
            <w:tcW w:w="718" w:type="dxa"/>
            <w:vAlign w:val="bottom"/>
          </w:tcPr>
          <w:p w:rsidR="006475C9" w:rsidRPr="00320FEC" w:rsidRDefault="006475C9" w:rsidP="006475C9">
            <w:pPr>
              <w:jc w:val="right"/>
              <w:rPr>
                <w:sz w:val="18"/>
                <w:szCs w:val="18"/>
              </w:rPr>
            </w:pPr>
            <w:r>
              <w:rPr>
                <w:sz w:val="18"/>
                <w:szCs w:val="18"/>
              </w:rPr>
              <w:t>300</w:t>
            </w:r>
            <w:r w:rsidRPr="00320FEC">
              <w:rPr>
                <w:sz w:val="18"/>
                <w:szCs w:val="18"/>
              </w:rPr>
              <w:t xml:space="preserve"> </w:t>
            </w:r>
          </w:p>
        </w:tc>
        <w:tc>
          <w:tcPr>
            <w:tcW w:w="718" w:type="dxa"/>
            <w:vAlign w:val="bottom"/>
          </w:tcPr>
          <w:p w:rsidR="006475C9" w:rsidRPr="00320FEC" w:rsidRDefault="006475C9" w:rsidP="006475C9">
            <w:pPr>
              <w:jc w:val="right"/>
              <w:rPr>
                <w:sz w:val="18"/>
                <w:szCs w:val="18"/>
              </w:rPr>
            </w:pPr>
            <w:r>
              <w:rPr>
                <w:sz w:val="18"/>
                <w:szCs w:val="18"/>
              </w:rPr>
              <w:t>300</w:t>
            </w:r>
            <w:r w:rsidRPr="00320FEC">
              <w:rPr>
                <w:sz w:val="18"/>
                <w:szCs w:val="18"/>
              </w:rPr>
              <w:t xml:space="preserve"> </w:t>
            </w:r>
          </w:p>
        </w:tc>
        <w:tc>
          <w:tcPr>
            <w:tcW w:w="809" w:type="dxa"/>
            <w:vAlign w:val="bottom"/>
          </w:tcPr>
          <w:p w:rsidR="006475C9" w:rsidRPr="00320FEC" w:rsidRDefault="006475C9" w:rsidP="006475C9">
            <w:pPr>
              <w:jc w:val="right"/>
              <w:rPr>
                <w:sz w:val="18"/>
                <w:szCs w:val="18"/>
              </w:rPr>
            </w:pPr>
            <w:r>
              <w:rPr>
                <w:sz w:val="18"/>
                <w:szCs w:val="18"/>
              </w:rPr>
              <w:t>1,200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Ground Transportation/Gas</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Pr>
                <w:sz w:val="18"/>
                <w:szCs w:val="18"/>
              </w:rPr>
              <w:t>600</w:t>
            </w:r>
          </w:p>
        </w:tc>
        <w:tc>
          <w:tcPr>
            <w:tcW w:w="718" w:type="dxa"/>
            <w:vAlign w:val="bottom"/>
          </w:tcPr>
          <w:p w:rsidR="006475C9" w:rsidRPr="00320FEC" w:rsidRDefault="006475C9" w:rsidP="006475C9">
            <w:pPr>
              <w:jc w:val="right"/>
              <w:rPr>
                <w:sz w:val="18"/>
                <w:szCs w:val="18"/>
              </w:rPr>
            </w:pPr>
            <w:r>
              <w:rPr>
                <w:sz w:val="18"/>
                <w:szCs w:val="18"/>
              </w:rPr>
              <w:t>600</w:t>
            </w:r>
          </w:p>
        </w:tc>
        <w:tc>
          <w:tcPr>
            <w:tcW w:w="718" w:type="dxa"/>
            <w:vAlign w:val="bottom"/>
          </w:tcPr>
          <w:p w:rsidR="006475C9" w:rsidRPr="00320FEC" w:rsidRDefault="006475C9" w:rsidP="006475C9">
            <w:pPr>
              <w:jc w:val="right"/>
              <w:rPr>
                <w:sz w:val="18"/>
                <w:szCs w:val="18"/>
              </w:rPr>
            </w:pPr>
            <w:r>
              <w:rPr>
                <w:sz w:val="18"/>
                <w:szCs w:val="18"/>
              </w:rPr>
              <w:t>600</w:t>
            </w:r>
          </w:p>
        </w:tc>
        <w:tc>
          <w:tcPr>
            <w:tcW w:w="718" w:type="dxa"/>
            <w:vAlign w:val="bottom"/>
          </w:tcPr>
          <w:p w:rsidR="006475C9" w:rsidRPr="00320FEC" w:rsidRDefault="006475C9" w:rsidP="006475C9">
            <w:pPr>
              <w:jc w:val="right"/>
              <w:rPr>
                <w:sz w:val="18"/>
                <w:szCs w:val="18"/>
              </w:rPr>
            </w:pPr>
            <w:r>
              <w:rPr>
                <w:sz w:val="18"/>
                <w:szCs w:val="18"/>
              </w:rPr>
              <w:t>600</w:t>
            </w:r>
          </w:p>
        </w:tc>
        <w:tc>
          <w:tcPr>
            <w:tcW w:w="809" w:type="dxa"/>
            <w:vAlign w:val="bottom"/>
          </w:tcPr>
          <w:p w:rsidR="006475C9" w:rsidRPr="00320FEC" w:rsidRDefault="006475C9" w:rsidP="006475C9">
            <w:pPr>
              <w:jc w:val="right"/>
              <w:rPr>
                <w:sz w:val="18"/>
                <w:szCs w:val="18"/>
              </w:rPr>
            </w:pPr>
            <w:r>
              <w:rPr>
                <w:sz w:val="18"/>
                <w:szCs w:val="18"/>
              </w:rPr>
              <w:t>2,400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Stationery &amp; Supplies</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Pr>
                <w:sz w:val="18"/>
                <w:szCs w:val="18"/>
              </w:rPr>
              <w:t>800</w:t>
            </w:r>
          </w:p>
        </w:tc>
        <w:tc>
          <w:tcPr>
            <w:tcW w:w="718" w:type="dxa"/>
          </w:tcPr>
          <w:p w:rsidR="006475C9" w:rsidRDefault="006475C9" w:rsidP="006475C9">
            <w:pPr>
              <w:jc w:val="right"/>
            </w:pPr>
            <w:r w:rsidRPr="007E78EB">
              <w:rPr>
                <w:sz w:val="18"/>
                <w:szCs w:val="18"/>
              </w:rPr>
              <w:t>800</w:t>
            </w:r>
          </w:p>
        </w:tc>
        <w:tc>
          <w:tcPr>
            <w:tcW w:w="718" w:type="dxa"/>
          </w:tcPr>
          <w:p w:rsidR="006475C9" w:rsidRDefault="006475C9" w:rsidP="006475C9">
            <w:pPr>
              <w:jc w:val="right"/>
            </w:pPr>
            <w:r w:rsidRPr="007E78EB">
              <w:rPr>
                <w:sz w:val="18"/>
                <w:szCs w:val="18"/>
              </w:rPr>
              <w:t>800</w:t>
            </w:r>
          </w:p>
        </w:tc>
        <w:tc>
          <w:tcPr>
            <w:tcW w:w="718" w:type="dxa"/>
          </w:tcPr>
          <w:p w:rsidR="006475C9" w:rsidRDefault="006475C9" w:rsidP="006475C9">
            <w:pPr>
              <w:jc w:val="right"/>
            </w:pPr>
            <w:r w:rsidRPr="007E78EB">
              <w:rPr>
                <w:sz w:val="18"/>
                <w:szCs w:val="18"/>
              </w:rPr>
              <w:t>800</w:t>
            </w:r>
          </w:p>
        </w:tc>
        <w:tc>
          <w:tcPr>
            <w:tcW w:w="809" w:type="dxa"/>
            <w:vAlign w:val="bottom"/>
          </w:tcPr>
          <w:p w:rsidR="006475C9" w:rsidRPr="00320FEC" w:rsidRDefault="006475C9" w:rsidP="006475C9">
            <w:pPr>
              <w:jc w:val="right"/>
              <w:rPr>
                <w:sz w:val="18"/>
                <w:szCs w:val="18"/>
              </w:rPr>
            </w:pPr>
            <w:r>
              <w:rPr>
                <w:sz w:val="18"/>
                <w:szCs w:val="18"/>
              </w:rPr>
              <w:t>3,200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Printing &amp; Publication</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sidRPr="00320FEC">
              <w:rPr>
                <w:sz w:val="18"/>
                <w:szCs w:val="18"/>
              </w:rPr>
              <w:t xml:space="preserve">   1,200 </w:t>
            </w:r>
          </w:p>
        </w:tc>
        <w:tc>
          <w:tcPr>
            <w:tcW w:w="718" w:type="dxa"/>
            <w:vAlign w:val="bottom"/>
          </w:tcPr>
          <w:p w:rsidR="006475C9" w:rsidRPr="00320FEC" w:rsidRDefault="006475C9" w:rsidP="006475C9">
            <w:pPr>
              <w:jc w:val="right"/>
              <w:rPr>
                <w:sz w:val="18"/>
                <w:szCs w:val="18"/>
              </w:rPr>
            </w:pPr>
            <w:r w:rsidRPr="00320FEC">
              <w:rPr>
                <w:sz w:val="18"/>
                <w:szCs w:val="18"/>
              </w:rPr>
              <w:t xml:space="preserve">  1,200 </w:t>
            </w:r>
          </w:p>
        </w:tc>
        <w:tc>
          <w:tcPr>
            <w:tcW w:w="718" w:type="dxa"/>
            <w:vAlign w:val="bottom"/>
          </w:tcPr>
          <w:p w:rsidR="006475C9" w:rsidRPr="00320FEC" w:rsidRDefault="006475C9" w:rsidP="006475C9">
            <w:pPr>
              <w:jc w:val="right"/>
              <w:rPr>
                <w:sz w:val="18"/>
                <w:szCs w:val="18"/>
              </w:rPr>
            </w:pPr>
            <w:r w:rsidRPr="00320FEC">
              <w:rPr>
                <w:sz w:val="18"/>
                <w:szCs w:val="18"/>
              </w:rPr>
              <w:t xml:space="preserve">  1,200 </w:t>
            </w:r>
          </w:p>
        </w:tc>
        <w:tc>
          <w:tcPr>
            <w:tcW w:w="718" w:type="dxa"/>
            <w:vAlign w:val="bottom"/>
          </w:tcPr>
          <w:p w:rsidR="006475C9" w:rsidRPr="00320FEC" w:rsidRDefault="006475C9" w:rsidP="006475C9">
            <w:pPr>
              <w:jc w:val="right"/>
              <w:rPr>
                <w:sz w:val="18"/>
                <w:szCs w:val="18"/>
              </w:rPr>
            </w:pPr>
            <w:r w:rsidRPr="00320FEC">
              <w:rPr>
                <w:sz w:val="18"/>
                <w:szCs w:val="18"/>
              </w:rPr>
              <w:t xml:space="preserve">  1,200 </w:t>
            </w:r>
          </w:p>
        </w:tc>
        <w:tc>
          <w:tcPr>
            <w:tcW w:w="809" w:type="dxa"/>
            <w:vAlign w:val="bottom"/>
          </w:tcPr>
          <w:p w:rsidR="006475C9" w:rsidRPr="00320FEC" w:rsidRDefault="006475C9" w:rsidP="006475C9">
            <w:pPr>
              <w:jc w:val="right"/>
              <w:rPr>
                <w:sz w:val="18"/>
                <w:szCs w:val="18"/>
              </w:rPr>
            </w:pPr>
            <w:r>
              <w:rPr>
                <w:sz w:val="18"/>
                <w:szCs w:val="18"/>
              </w:rPr>
              <w:t>4,800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Subscriptions Professional Associations</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sidRPr="00320FEC">
              <w:rPr>
                <w:sz w:val="18"/>
                <w:szCs w:val="18"/>
              </w:rPr>
              <w:t xml:space="preserve">     900 </w:t>
            </w:r>
          </w:p>
        </w:tc>
        <w:tc>
          <w:tcPr>
            <w:tcW w:w="718" w:type="dxa"/>
            <w:vAlign w:val="bottom"/>
          </w:tcPr>
          <w:p w:rsidR="006475C9" w:rsidRPr="00320FEC" w:rsidRDefault="006475C9" w:rsidP="006475C9">
            <w:pPr>
              <w:jc w:val="right"/>
              <w:rPr>
                <w:sz w:val="18"/>
                <w:szCs w:val="18"/>
              </w:rPr>
            </w:pPr>
            <w:r w:rsidRPr="00320FEC">
              <w:rPr>
                <w:sz w:val="18"/>
                <w:szCs w:val="18"/>
              </w:rPr>
              <w:t xml:space="preserve">     900 </w:t>
            </w:r>
          </w:p>
        </w:tc>
        <w:tc>
          <w:tcPr>
            <w:tcW w:w="718" w:type="dxa"/>
            <w:vAlign w:val="bottom"/>
          </w:tcPr>
          <w:p w:rsidR="006475C9" w:rsidRPr="00320FEC" w:rsidRDefault="006475C9" w:rsidP="006475C9">
            <w:pPr>
              <w:jc w:val="right"/>
              <w:rPr>
                <w:sz w:val="18"/>
                <w:szCs w:val="18"/>
              </w:rPr>
            </w:pPr>
            <w:r w:rsidRPr="00320FEC">
              <w:rPr>
                <w:sz w:val="18"/>
                <w:szCs w:val="18"/>
              </w:rPr>
              <w:t xml:space="preserve">     900 </w:t>
            </w:r>
          </w:p>
        </w:tc>
        <w:tc>
          <w:tcPr>
            <w:tcW w:w="718" w:type="dxa"/>
            <w:vAlign w:val="bottom"/>
          </w:tcPr>
          <w:p w:rsidR="006475C9" w:rsidRPr="00320FEC" w:rsidRDefault="006475C9" w:rsidP="006475C9">
            <w:pPr>
              <w:jc w:val="right"/>
              <w:rPr>
                <w:sz w:val="18"/>
                <w:szCs w:val="18"/>
              </w:rPr>
            </w:pPr>
            <w:r w:rsidRPr="00320FEC">
              <w:rPr>
                <w:sz w:val="18"/>
                <w:szCs w:val="18"/>
              </w:rPr>
              <w:t xml:space="preserve">     900 </w:t>
            </w:r>
          </w:p>
        </w:tc>
        <w:tc>
          <w:tcPr>
            <w:tcW w:w="809" w:type="dxa"/>
            <w:vAlign w:val="bottom"/>
          </w:tcPr>
          <w:p w:rsidR="006475C9" w:rsidRPr="00320FEC" w:rsidRDefault="006475C9" w:rsidP="006475C9">
            <w:pPr>
              <w:jc w:val="right"/>
              <w:rPr>
                <w:sz w:val="18"/>
                <w:szCs w:val="18"/>
              </w:rPr>
            </w:pPr>
            <w:r>
              <w:rPr>
                <w:sz w:val="18"/>
                <w:szCs w:val="18"/>
              </w:rPr>
              <w:t>3,600</w:t>
            </w:r>
          </w:p>
        </w:tc>
      </w:tr>
      <w:tr w:rsidR="009C02C9" w:rsidTr="00D61285">
        <w:trPr>
          <w:jc w:val="right"/>
        </w:trPr>
        <w:tc>
          <w:tcPr>
            <w:tcW w:w="4390" w:type="dxa"/>
            <w:gridSpan w:val="2"/>
            <w:vAlign w:val="center"/>
          </w:tcPr>
          <w:p w:rsidR="006475C9" w:rsidRPr="00320FEC" w:rsidRDefault="006475C9" w:rsidP="006475C9">
            <w:pPr>
              <w:rPr>
                <w:sz w:val="18"/>
                <w:szCs w:val="18"/>
                <w:lang w:eastAsia="en-TT"/>
              </w:rPr>
            </w:pPr>
            <w:r>
              <w:rPr>
                <w:sz w:val="18"/>
                <w:szCs w:val="18"/>
              </w:rPr>
              <w:t xml:space="preserve">Administrative Staff </w:t>
            </w:r>
            <w:r w:rsidRPr="00320FEC">
              <w:rPr>
                <w:sz w:val="18"/>
                <w:szCs w:val="18"/>
              </w:rPr>
              <w:t>Training</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Pr>
                <w:sz w:val="18"/>
                <w:szCs w:val="18"/>
              </w:rPr>
              <w:t>400</w:t>
            </w:r>
          </w:p>
        </w:tc>
        <w:tc>
          <w:tcPr>
            <w:tcW w:w="718" w:type="dxa"/>
            <w:vAlign w:val="bottom"/>
          </w:tcPr>
          <w:p w:rsidR="006475C9" w:rsidRPr="00320FEC" w:rsidRDefault="006475C9" w:rsidP="006475C9">
            <w:pPr>
              <w:jc w:val="right"/>
              <w:rPr>
                <w:sz w:val="18"/>
                <w:szCs w:val="18"/>
              </w:rPr>
            </w:pPr>
          </w:p>
        </w:tc>
        <w:tc>
          <w:tcPr>
            <w:tcW w:w="718" w:type="dxa"/>
            <w:vAlign w:val="bottom"/>
          </w:tcPr>
          <w:p w:rsidR="006475C9" w:rsidRPr="00320FEC" w:rsidRDefault="006475C9" w:rsidP="006475C9">
            <w:pPr>
              <w:jc w:val="right"/>
              <w:rPr>
                <w:sz w:val="18"/>
                <w:szCs w:val="18"/>
              </w:rPr>
            </w:pPr>
          </w:p>
        </w:tc>
        <w:tc>
          <w:tcPr>
            <w:tcW w:w="718" w:type="dxa"/>
            <w:vAlign w:val="bottom"/>
          </w:tcPr>
          <w:p w:rsidR="006475C9" w:rsidRPr="00320FEC" w:rsidRDefault="006475C9" w:rsidP="006475C9">
            <w:pPr>
              <w:jc w:val="right"/>
              <w:rPr>
                <w:sz w:val="18"/>
                <w:szCs w:val="18"/>
              </w:rPr>
            </w:pPr>
          </w:p>
        </w:tc>
        <w:tc>
          <w:tcPr>
            <w:tcW w:w="809" w:type="dxa"/>
            <w:vAlign w:val="bottom"/>
          </w:tcPr>
          <w:p w:rsidR="006475C9" w:rsidRPr="00320FEC" w:rsidRDefault="006475C9" w:rsidP="006475C9">
            <w:pPr>
              <w:jc w:val="right"/>
              <w:rPr>
                <w:sz w:val="18"/>
                <w:szCs w:val="18"/>
              </w:rPr>
            </w:pPr>
            <w:r>
              <w:rPr>
                <w:sz w:val="18"/>
                <w:szCs w:val="18"/>
              </w:rPr>
              <w:t>400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Telephone</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sidRPr="00320FEC">
              <w:rPr>
                <w:sz w:val="18"/>
                <w:szCs w:val="18"/>
              </w:rPr>
              <w:t xml:space="preserve">   3,600 </w:t>
            </w:r>
          </w:p>
        </w:tc>
        <w:tc>
          <w:tcPr>
            <w:tcW w:w="718" w:type="dxa"/>
            <w:vAlign w:val="bottom"/>
          </w:tcPr>
          <w:p w:rsidR="006475C9" w:rsidRPr="00320FEC" w:rsidRDefault="006475C9" w:rsidP="006475C9">
            <w:pPr>
              <w:jc w:val="right"/>
              <w:rPr>
                <w:sz w:val="18"/>
                <w:szCs w:val="18"/>
              </w:rPr>
            </w:pPr>
            <w:r w:rsidRPr="00320FEC">
              <w:rPr>
                <w:sz w:val="18"/>
                <w:szCs w:val="18"/>
              </w:rPr>
              <w:t xml:space="preserve">  3,600 </w:t>
            </w:r>
          </w:p>
        </w:tc>
        <w:tc>
          <w:tcPr>
            <w:tcW w:w="718" w:type="dxa"/>
            <w:vAlign w:val="bottom"/>
          </w:tcPr>
          <w:p w:rsidR="006475C9" w:rsidRPr="00320FEC" w:rsidRDefault="006475C9" w:rsidP="006475C9">
            <w:pPr>
              <w:jc w:val="right"/>
              <w:rPr>
                <w:sz w:val="18"/>
                <w:szCs w:val="18"/>
              </w:rPr>
            </w:pPr>
            <w:r w:rsidRPr="00320FEC">
              <w:rPr>
                <w:sz w:val="18"/>
                <w:szCs w:val="18"/>
              </w:rPr>
              <w:t xml:space="preserve">  3,600 </w:t>
            </w:r>
          </w:p>
        </w:tc>
        <w:tc>
          <w:tcPr>
            <w:tcW w:w="718" w:type="dxa"/>
            <w:vAlign w:val="bottom"/>
          </w:tcPr>
          <w:p w:rsidR="006475C9" w:rsidRPr="00320FEC" w:rsidRDefault="006475C9" w:rsidP="006475C9">
            <w:pPr>
              <w:jc w:val="right"/>
              <w:rPr>
                <w:sz w:val="18"/>
                <w:szCs w:val="18"/>
              </w:rPr>
            </w:pPr>
            <w:r w:rsidRPr="00320FEC">
              <w:rPr>
                <w:sz w:val="18"/>
                <w:szCs w:val="18"/>
              </w:rPr>
              <w:t xml:space="preserve">  3,600 </w:t>
            </w:r>
          </w:p>
        </w:tc>
        <w:tc>
          <w:tcPr>
            <w:tcW w:w="809" w:type="dxa"/>
            <w:vAlign w:val="bottom"/>
          </w:tcPr>
          <w:p w:rsidR="006475C9" w:rsidRPr="00320FEC" w:rsidRDefault="006475C9" w:rsidP="006475C9">
            <w:pPr>
              <w:jc w:val="right"/>
              <w:rPr>
                <w:sz w:val="18"/>
                <w:szCs w:val="18"/>
              </w:rPr>
            </w:pPr>
            <w:r>
              <w:rPr>
                <w:sz w:val="18"/>
                <w:szCs w:val="18"/>
              </w:rPr>
              <w:t>14,400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Internet</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sidRPr="00320FEC">
              <w:rPr>
                <w:sz w:val="18"/>
                <w:szCs w:val="18"/>
              </w:rPr>
              <w:t xml:space="preserve">   1,200 </w:t>
            </w:r>
          </w:p>
        </w:tc>
        <w:tc>
          <w:tcPr>
            <w:tcW w:w="718" w:type="dxa"/>
            <w:vAlign w:val="bottom"/>
          </w:tcPr>
          <w:p w:rsidR="006475C9" w:rsidRPr="00320FEC" w:rsidRDefault="006475C9" w:rsidP="006475C9">
            <w:pPr>
              <w:jc w:val="right"/>
              <w:rPr>
                <w:sz w:val="18"/>
                <w:szCs w:val="18"/>
              </w:rPr>
            </w:pPr>
            <w:r w:rsidRPr="00320FEC">
              <w:rPr>
                <w:sz w:val="18"/>
                <w:szCs w:val="18"/>
              </w:rPr>
              <w:t xml:space="preserve">  1,200 </w:t>
            </w:r>
          </w:p>
        </w:tc>
        <w:tc>
          <w:tcPr>
            <w:tcW w:w="718" w:type="dxa"/>
            <w:vAlign w:val="bottom"/>
          </w:tcPr>
          <w:p w:rsidR="006475C9" w:rsidRPr="00320FEC" w:rsidRDefault="006475C9" w:rsidP="006475C9">
            <w:pPr>
              <w:jc w:val="right"/>
              <w:rPr>
                <w:sz w:val="18"/>
                <w:szCs w:val="18"/>
              </w:rPr>
            </w:pPr>
            <w:r w:rsidRPr="00320FEC">
              <w:rPr>
                <w:sz w:val="18"/>
                <w:szCs w:val="18"/>
              </w:rPr>
              <w:t xml:space="preserve">  1,200 </w:t>
            </w:r>
          </w:p>
        </w:tc>
        <w:tc>
          <w:tcPr>
            <w:tcW w:w="718" w:type="dxa"/>
            <w:vAlign w:val="bottom"/>
          </w:tcPr>
          <w:p w:rsidR="006475C9" w:rsidRPr="00320FEC" w:rsidRDefault="006475C9" w:rsidP="006475C9">
            <w:pPr>
              <w:jc w:val="right"/>
              <w:rPr>
                <w:sz w:val="18"/>
                <w:szCs w:val="18"/>
              </w:rPr>
            </w:pPr>
            <w:r w:rsidRPr="00320FEC">
              <w:rPr>
                <w:sz w:val="18"/>
                <w:szCs w:val="18"/>
              </w:rPr>
              <w:t xml:space="preserve">  1,200 </w:t>
            </w:r>
          </w:p>
        </w:tc>
        <w:tc>
          <w:tcPr>
            <w:tcW w:w="809" w:type="dxa"/>
            <w:vAlign w:val="bottom"/>
          </w:tcPr>
          <w:p w:rsidR="006475C9" w:rsidRPr="00320FEC" w:rsidRDefault="006475C9" w:rsidP="006475C9">
            <w:pPr>
              <w:jc w:val="right"/>
              <w:rPr>
                <w:sz w:val="18"/>
                <w:szCs w:val="18"/>
              </w:rPr>
            </w:pPr>
            <w:r>
              <w:rPr>
                <w:sz w:val="18"/>
                <w:szCs w:val="18"/>
              </w:rPr>
              <w:t>4,800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 xml:space="preserve">Mobile </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Pr>
                <w:sz w:val="18"/>
                <w:szCs w:val="18"/>
              </w:rPr>
              <w:t>640</w:t>
            </w:r>
          </w:p>
        </w:tc>
        <w:tc>
          <w:tcPr>
            <w:tcW w:w="718" w:type="dxa"/>
            <w:vAlign w:val="bottom"/>
          </w:tcPr>
          <w:p w:rsidR="006475C9" w:rsidRPr="00320FEC" w:rsidRDefault="006475C9" w:rsidP="006475C9">
            <w:pPr>
              <w:jc w:val="right"/>
              <w:rPr>
                <w:sz w:val="18"/>
                <w:szCs w:val="18"/>
              </w:rPr>
            </w:pPr>
            <w:r>
              <w:rPr>
                <w:sz w:val="18"/>
                <w:szCs w:val="18"/>
              </w:rPr>
              <w:t>640</w:t>
            </w:r>
          </w:p>
        </w:tc>
        <w:tc>
          <w:tcPr>
            <w:tcW w:w="718" w:type="dxa"/>
            <w:vAlign w:val="bottom"/>
          </w:tcPr>
          <w:p w:rsidR="006475C9" w:rsidRPr="00320FEC" w:rsidRDefault="006475C9" w:rsidP="006475C9">
            <w:pPr>
              <w:jc w:val="right"/>
              <w:rPr>
                <w:sz w:val="18"/>
                <w:szCs w:val="18"/>
              </w:rPr>
            </w:pPr>
            <w:r>
              <w:rPr>
                <w:sz w:val="18"/>
                <w:szCs w:val="18"/>
              </w:rPr>
              <w:t>640</w:t>
            </w:r>
          </w:p>
        </w:tc>
        <w:tc>
          <w:tcPr>
            <w:tcW w:w="718" w:type="dxa"/>
            <w:vAlign w:val="bottom"/>
          </w:tcPr>
          <w:p w:rsidR="006475C9" w:rsidRPr="00320FEC" w:rsidRDefault="006475C9" w:rsidP="006475C9">
            <w:pPr>
              <w:jc w:val="right"/>
              <w:rPr>
                <w:sz w:val="18"/>
                <w:szCs w:val="18"/>
              </w:rPr>
            </w:pPr>
            <w:r>
              <w:rPr>
                <w:sz w:val="18"/>
                <w:szCs w:val="18"/>
              </w:rPr>
              <w:t>640</w:t>
            </w:r>
          </w:p>
        </w:tc>
        <w:tc>
          <w:tcPr>
            <w:tcW w:w="809" w:type="dxa"/>
            <w:vAlign w:val="bottom"/>
          </w:tcPr>
          <w:p w:rsidR="006475C9" w:rsidRPr="00320FEC" w:rsidRDefault="006475C9" w:rsidP="006475C9">
            <w:pPr>
              <w:jc w:val="right"/>
              <w:rPr>
                <w:sz w:val="18"/>
                <w:szCs w:val="18"/>
              </w:rPr>
            </w:pPr>
            <w:r>
              <w:rPr>
                <w:sz w:val="18"/>
                <w:szCs w:val="18"/>
              </w:rPr>
              <w:t>2,560</w:t>
            </w:r>
          </w:p>
        </w:tc>
      </w:tr>
      <w:tr w:rsidR="009C02C9" w:rsidTr="00D61285">
        <w:trPr>
          <w:jc w:val="right"/>
        </w:trPr>
        <w:tc>
          <w:tcPr>
            <w:tcW w:w="4390" w:type="dxa"/>
            <w:gridSpan w:val="2"/>
            <w:vAlign w:val="center"/>
          </w:tcPr>
          <w:p w:rsidR="006475C9" w:rsidRPr="00320FEC" w:rsidRDefault="006475C9" w:rsidP="006475C9">
            <w:pPr>
              <w:rPr>
                <w:sz w:val="18"/>
                <w:szCs w:val="18"/>
              </w:rPr>
            </w:pPr>
            <w:r w:rsidRPr="00320FEC">
              <w:rPr>
                <w:sz w:val="18"/>
                <w:szCs w:val="18"/>
              </w:rPr>
              <w:t>Equipment Repairs &amp; Maintenance</w:t>
            </w:r>
          </w:p>
        </w:tc>
        <w:tc>
          <w:tcPr>
            <w:tcW w:w="735" w:type="dxa"/>
          </w:tcPr>
          <w:p w:rsidR="006475C9" w:rsidRPr="00320FEC" w:rsidRDefault="006475C9" w:rsidP="006475C9">
            <w:pPr>
              <w:rPr>
                <w:rFonts w:asciiTheme="minorHAnsi" w:hAnsiTheme="minorHAnsi"/>
                <w:sz w:val="18"/>
                <w:szCs w:val="18"/>
                <w:lang w:eastAsia="en-US"/>
              </w:rPr>
            </w:pPr>
          </w:p>
        </w:tc>
        <w:tc>
          <w:tcPr>
            <w:tcW w:w="844" w:type="dxa"/>
            <w:vAlign w:val="bottom"/>
          </w:tcPr>
          <w:p w:rsidR="006475C9" w:rsidRPr="00320FEC" w:rsidRDefault="006475C9" w:rsidP="006475C9">
            <w:pPr>
              <w:jc w:val="right"/>
              <w:rPr>
                <w:sz w:val="18"/>
                <w:szCs w:val="18"/>
              </w:rPr>
            </w:pPr>
            <w:r>
              <w:rPr>
                <w:sz w:val="18"/>
                <w:szCs w:val="18"/>
              </w:rPr>
              <w:t>1,200</w:t>
            </w:r>
          </w:p>
        </w:tc>
        <w:tc>
          <w:tcPr>
            <w:tcW w:w="718" w:type="dxa"/>
            <w:vAlign w:val="bottom"/>
          </w:tcPr>
          <w:p w:rsidR="006475C9" w:rsidRPr="00320FEC" w:rsidRDefault="006475C9" w:rsidP="006475C9">
            <w:pPr>
              <w:jc w:val="right"/>
              <w:rPr>
                <w:sz w:val="18"/>
                <w:szCs w:val="18"/>
              </w:rPr>
            </w:pPr>
            <w:r>
              <w:rPr>
                <w:sz w:val="18"/>
                <w:szCs w:val="18"/>
              </w:rPr>
              <w:t>1,200</w:t>
            </w:r>
          </w:p>
        </w:tc>
        <w:tc>
          <w:tcPr>
            <w:tcW w:w="718" w:type="dxa"/>
            <w:vAlign w:val="bottom"/>
          </w:tcPr>
          <w:p w:rsidR="006475C9" w:rsidRPr="00320FEC" w:rsidRDefault="006475C9" w:rsidP="006475C9">
            <w:pPr>
              <w:jc w:val="right"/>
              <w:rPr>
                <w:sz w:val="18"/>
                <w:szCs w:val="18"/>
              </w:rPr>
            </w:pPr>
            <w:r>
              <w:rPr>
                <w:sz w:val="18"/>
                <w:szCs w:val="18"/>
              </w:rPr>
              <w:t>1,200</w:t>
            </w:r>
          </w:p>
        </w:tc>
        <w:tc>
          <w:tcPr>
            <w:tcW w:w="718" w:type="dxa"/>
            <w:vAlign w:val="bottom"/>
          </w:tcPr>
          <w:p w:rsidR="006475C9" w:rsidRPr="00320FEC" w:rsidRDefault="006475C9" w:rsidP="006475C9">
            <w:pPr>
              <w:jc w:val="right"/>
              <w:rPr>
                <w:sz w:val="18"/>
                <w:szCs w:val="18"/>
              </w:rPr>
            </w:pPr>
            <w:r>
              <w:rPr>
                <w:sz w:val="18"/>
                <w:szCs w:val="18"/>
              </w:rPr>
              <w:t>1,200</w:t>
            </w:r>
          </w:p>
        </w:tc>
        <w:tc>
          <w:tcPr>
            <w:tcW w:w="809" w:type="dxa"/>
            <w:vAlign w:val="bottom"/>
          </w:tcPr>
          <w:p w:rsidR="006475C9" w:rsidRPr="00320FEC" w:rsidRDefault="006475C9" w:rsidP="006475C9">
            <w:pPr>
              <w:jc w:val="right"/>
              <w:rPr>
                <w:sz w:val="18"/>
                <w:szCs w:val="18"/>
              </w:rPr>
            </w:pPr>
            <w:r>
              <w:rPr>
                <w:sz w:val="18"/>
                <w:szCs w:val="18"/>
              </w:rPr>
              <w:t>4,800</w:t>
            </w:r>
          </w:p>
        </w:tc>
      </w:tr>
      <w:tr w:rsidR="009C02C9" w:rsidTr="00D61285">
        <w:trPr>
          <w:jc w:val="right"/>
        </w:trPr>
        <w:tc>
          <w:tcPr>
            <w:tcW w:w="4390" w:type="dxa"/>
            <w:gridSpan w:val="2"/>
            <w:vAlign w:val="center"/>
          </w:tcPr>
          <w:p w:rsidR="006475C9" w:rsidRPr="00A96987" w:rsidRDefault="006475C9" w:rsidP="006475C9">
            <w:pPr>
              <w:rPr>
                <w:sz w:val="18"/>
                <w:szCs w:val="18"/>
              </w:rPr>
            </w:pPr>
            <w:r w:rsidRPr="00A96987">
              <w:rPr>
                <w:sz w:val="18"/>
                <w:szCs w:val="18"/>
              </w:rPr>
              <w:t>Miscellaneous</w:t>
            </w:r>
          </w:p>
        </w:tc>
        <w:tc>
          <w:tcPr>
            <w:tcW w:w="735" w:type="dxa"/>
          </w:tcPr>
          <w:p w:rsidR="006475C9" w:rsidRPr="00A96987" w:rsidRDefault="006475C9" w:rsidP="006475C9">
            <w:pPr>
              <w:rPr>
                <w:rFonts w:asciiTheme="minorHAnsi" w:hAnsiTheme="minorHAnsi"/>
                <w:sz w:val="18"/>
                <w:szCs w:val="18"/>
                <w:lang w:eastAsia="en-US"/>
              </w:rPr>
            </w:pPr>
          </w:p>
        </w:tc>
        <w:tc>
          <w:tcPr>
            <w:tcW w:w="844" w:type="dxa"/>
            <w:vAlign w:val="bottom"/>
          </w:tcPr>
          <w:p w:rsidR="006475C9" w:rsidRPr="00A96987" w:rsidRDefault="006475C9" w:rsidP="006475C9">
            <w:pPr>
              <w:jc w:val="right"/>
              <w:rPr>
                <w:sz w:val="18"/>
                <w:szCs w:val="18"/>
              </w:rPr>
            </w:pPr>
            <w:r w:rsidRPr="00A96987">
              <w:rPr>
                <w:sz w:val="18"/>
                <w:szCs w:val="18"/>
              </w:rPr>
              <w:t>420</w:t>
            </w:r>
          </w:p>
        </w:tc>
        <w:tc>
          <w:tcPr>
            <w:tcW w:w="718" w:type="dxa"/>
            <w:vAlign w:val="bottom"/>
          </w:tcPr>
          <w:p w:rsidR="006475C9" w:rsidRPr="00A96987" w:rsidRDefault="006475C9" w:rsidP="006475C9">
            <w:pPr>
              <w:jc w:val="right"/>
              <w:rPr>
                <w:sz w:val="18"/>
                <w:szCs w:val="18"/>
              </w:rPr>
            </w:pPr>
            <w:r w:rsidRPr="00A96987">
              <w:rPr>
                <w:sz w:val="18"/>
                <w:szCs w:val="18"/>
              </w:rPr>
              <w:t>420</w:t>
            </w:r>
          </w:p>
        </w:tc>
        <w:tc>
          <w:tcPr>
            <w:tcW w:w="718" w:type="dxa"/>
            <w:vAlign w:val="bottom"/>
          </w:tcPr>
          <w:p w:rsidR="006475C9" w:rsidRPr="00A96987" w:rsidRDefault="006475C9" w:rsidP="006475C9">
            <w:pPr>
              <w:jc w:val="right"/>
              <w:rPr>
                <w:sz w:val="18"/>
                <w:szCs w:val="18"/>
              </w:rPr>
            </w:pPr>
            <w:r w:rsidRPr="00A96987">
              <w:rPr>
                <w:sz w:val="18"/>
                <w:szCs w:val="18"/>
              </w:rPr>
              <w:t>420</w:t>
            </w:r>
          </w:p>
        </w:tc>
        <w:tc>
          <w:tcPr>
            <w:tcW w:w="718" w:type="dxa"/>
            <w:vAlign w:val="bottom"/>
          </w:tcPr>
          <w:p w:rsidR="006475C9" w:rsidRPr="00A96987" w:rsidRDefault="006475C9" w:rsidP="006475C9">
            <w:pPr>
              <w:jc w:val="right"/>
              <w:rPr>
                <w:sz w:val="18"/>
                <w:szCs w:val="18"/>
              </w:rPr>
            </w:pPr>
            <w:r w:rsidRPr="00A96987">
              <w:rPr>
                <w:sz w:val="18"/>
                <w:szCs w:val="18"/>
              </w:rPr>
              <w:t>420</w:t>
            </w:r>
          </w:p>
        </w:tc>
        <w:tc>
          <w:tcPr>
            <w:tcW w:w="809" w:type="dxa"/>
            <w:vAlign w:val="bottom"/>
          </w:tcPr>
          <w:p w:rsidR="006475C9" w:rsidRPr="00320FEC" w:rsidRDefault="006475C9" w:rsidP="006475C9">
            <w:pPr>
              <w:jc w:val="right"/>
              <w:rPr>
                <w:sz w:val="18"/>
                <w:szCs w:val="18"/>
              </w:rPr>
            </w:pPr>
            <w:r>
              <w:rPr>
                <w:sz w:val="18"/>
                <w:szCs w:val="18"/>
              </w:rPr>
              <w:t>1,680</w:t>
            </w:r>
          </w:p>
        </w:tc>
      </w:tr>
      <w:tr w:rsidR="009C02C9" w:rsidTr="00D61285">
        <w:trPr>
          <w:jc w:val="right"/>
        </w:trPr>
        <w:tc>
          <w:tcPr>
            <w:tcW w:w="4390" w:type="dxa"/>
            <w:gridSpan w:val="2"/>
          </w:tcPr>
          <w:p w:rsidR="006475C9" w:rsidRPr="00320FEC" w:rsidRDefault="006475C9" w:rsidP="006475C9">
            <w:pPr>
              <w:rPr>
                <w:rFonts w:asciiTheme="minorHAnsi" w:hAnsiTheme="minorHAnsi"/>
                <w:sz w:val="18"/>
                <w:szCs w:val="18"/>
                <w:lang w:eastAsia="en-US"/>
              </w:rPr>
            </w:pPr>
            <w:r w:rsidRPr="00320FEC">
              <w:rPr>
                <w:rFonts w:asciiTheme="minorHAnsi" w:hAnsiTheme="minorHAnsi"/>
                <w:sz w:val="18"/>
                <w:szCs w:val="18"/>
                <w:lang w:eastAsia="en-US"/>
              </w:rPr>
              <w:t>Sub-Total</w:t>
            </w:r>
          </w:p>
        </w:tc>
        <w:tc>
          <w:tcPr>
            <w:tcW w:w="735" w:type="dxa"/>
          </w:tcPr>
          <w:p w:rsidR="006475C9" w:rsidRPr="004D6637" w:rsidRDefault="006475C9" w:rsidP="006475C9">
            <w:pPr>
              <w:rPr>
                <w:rFonts w:asciiTheme="minorHAnsi" w:hAnsiTheme="minorHAnsi"/>
                <w:i/>
                <w:sz w:val="18"/>
                <w:szCs w:val="18"/>
                <w:lang w:eastAsia="en-US"/>
              </w:rPr>
            </w:pPr>
          </w:p>
        </w:tc>
        <w:tc>
          <w:tcPr>
            <w:tcW w:w="844" w:type="dxa"/>
          </w:tcPr>
          <w:p w:rsidR="006475C9" w:rsidRPr="00421179" w:rsidRDefault="006475C9" w:rsidP="006475C9">
            <w:pPr>
              <w:jc w:val="right"/>
              <w:rPr>
                <w:rFonts w:asciiTheme="minorHAnsi" w:hAnsiTheme="minorHAnsi"/>
                <w:i/>
                <w:sz w:val="18"/>
                <w:szCs w:val="18"/>
                <w:lang w:eastAsia="en-US"/>
              </w:rPr>
            </w:pPr>
            <w:r>
              <w:rPr>
                <w:rFonts w:asciiTheme="minorHAnsi" w:hAnsiTheme="minorHAnsi"/>
                <w:i/>
                <w:sz w:val="18"/>
                <w:szCs w:val="18"/>
                <w:lang w:eastAsia="en-US"/>
              </w:rPr>
              <w:t>12,460</w:t>
            </w:r>
          </w:p>
        </w:tc>
        <w:tc>
          <w:tcPr>
            <w:tcW w:w="718" w:type="dxa"/>
          </w:tcPr>
          <w:p w:rsidR="006475C9" w:rsidRPr="00421179" w:rsidRDefault="006475C9" w:rsidP="006475C9">
            <w:pPr>
              <w:jc w:val="right"/>
              <w:rPr>
                <w:rFonts w:asciiTheme="minorHAnsi" w:hAnsiTheme="minorHAnsi"/>
                <w:i/>
                <w:sz w:val="18"/>
                <w:szCs w:val="18"/>
                <w:lang w:eastAsia="en-US"/>
              </w:rPr>
            </w:pPr>
            <w:r>
              <w:rPr>
                <w:rFonts w:asciiTheme="minorHAnsi" w:hAnsiTheme="minorHAnsi"/>
                <w:i/>
                <w:sz w:val="18"/>
                <w:szCs w:val="18"/>
                <w:lang w:eastAsia="en-US"/>
              </w:rPr>
              <w:t>12,060</w:t>
            </w:r>
          </w:p>
        </w:tc>
        <w:tc>
          <w:tcPr>
            <w:tcW w:w="718" w:type="dxa"/>
          </w:tcPr>
          <w:p w:rsidR="006475C9" w:rsidRPr="00421179" w:rsidRDefault="006475C9" w:rsidP="006475C9">
            <w:pPr>
              <w:jc w:val="right"/>
              <w:rPr>
                <w:rFonts w:asciiTheme="minorHAnsi" w:hAnsiTheme="minorHAnsi"/>
                <w:i/>
                <w:sz w:val="18"/>
                <w:szCs w:val="18"/>
                <w:lang w:eastAsia="en-US"/>
              </w:rPr>
            </w:pPr>
            <w:r>
              <w:rPr>
                <w:rFonts w:asciiTheme="minorHAnsi" w:hAnsiTheme="minorHAnsi"/>
                <w:i/>
                <w:sz w:val="18"/>
                <w:szCs w:val="18"/>
                <w:lang w:eastAsia="en-US"/>
              </w:rPr>
              <w:t>12,060</w:t>
            </w:r>
          </w:p>
        </w:tc>
        <w:tc>
          <w:tcPr>
            <w:tcW w:w="718" w:type="dxa"/>
          </w:tcPr>
          <w:p w:rsidR="006475C9" w:rsidRPr="00421179" w:rsidRDefault="006475C9" w:rsidP="006475C9">
            <w:pPr>
              <w:jc w:val="right"/>
              <w:rPr>
                <w:rFonts w:asciiTheme="minorHAnsi" w:hAnsiTheme="minorHAnsi"/>
                <w:i/>
                <w:sz w:val="18"/>
                <w:szCs w:val="18"/>
                <w:lang w:eastAsia="en-US"/>
              </w:rPr>
            </w:pPr>
            <w:r>
              <w:rPr>
                <w:rFonts w:asciiTheme="minorHAnsi" w:hAnsiTheme="minorHAnsi"/>
                <w:i/>
                <w:sz w:val="18"/>
                <w:szCs w:val="18"/>
                <w:lang w:eastAsia="en-US"/>
              </w:rPr>
              <w:t>12,060</w:t>
            </w:r>
          </w:p>
        </w:tc>
        <w:tc>
          <w:tcPr>
            <w:tcW w:w="809" w:type="dxa"/>
          </w:tcPr>
          <w:p w:rsidR="006475C9" w:rsidRPr="009C02C9" w:rsidRDefault="006475C9" w:rsidP="006475C9">
            <w:pPr>
              <w:jc w:val="right"/>
              <w:rPr>
                <w:rFonts w:asciiTheme="minorHAnsi" w:hAnsiTheme="minorHAnsi"/>
                <w:b/>
                <w:i/>
                <w:sz w:val="18"/>
                <w:szCs w:val="18"/>
                <w:lang w:eastAsia="en-US"/>
              </w:rPr>
            </w:pPr>
            <w:r w:rsidRPr="009C02C9">
              <w:rPr>
                <w:rFonts w:asciiTheme="minorHAnsi" w:hAnsiTheme="minorHAnsi"/>
                <w:b/>
                <w:i/>
                <w:sz w:val="18"/>
                <w:szCs w:val="18"/>
                <w:lang w:eastAsia="en-US"/>
              </w:rPr>
              <w:t>48,640</w:t>
            </w:r>
          </w:p>
        </w:tc>
      </w:tr>
      <w:tr w:rsidR="009C02C9" w:rsidTr="00D61285">
        <w:trPr>
          <w:jc w:val="right"/>
        </w:trPr>
        <w:tc>
          <w:tcPr>
            <w:tcW w:w="4390" w:type="dxa"/>
            <w:gridSpan w:val="2"/>
          </w:tcPr>
          <w:p w:rsidR="00A96987" w:rsidRPr="00320FEC" w:rsidRDefault="00A96987" w:rsidP="00A96987">
            <w:pPr>
              <w:rPr>
                <w:rFonts w:asciiTheme="minorHAnsi" w:hAnsiTheme="minorHAnsi"/>
                <w:sz w:val="18"/>
                <w:szCs w:val="18"/>
                <w:lang w:eastAsia="en-US"/>
              </w:rPr>
            </w:pPr>
            <w:r w:rsidRPr="00320FEC">
              <w:rPr>
                <w:rFonts w:asciiTheme="minorHAnsi" w:hAnsiTheme="minorHAnsi"/>
                <w:sz w:val="18"/>
                <w:szCs w:val="18"/>
                <w:lang w:eastAsia="en-US"/>
              </w:rPr>
              <w:t>Grand Total</w:t>
            </w:r>
          </w:p>
        </w:tc>
        <w:tc>
          <w:tcPr>
            <w:tcW w:w="735" w:type="dxa"/>
          </w:tcPr>
          <w:p w:rsidR="00A96987" w:rsidRPr="00320FEC" w:rsidRDefault="00A96987" w:rsidP="00A96987">
            <w:pPr>
              <w:jc w:val="right"/>
              <w:rPr>
                <w:rFonts w:asciiTheme="minorHAnsi" w:hAnsiTheme="minorHAnsi"/>
                <w:sz w:val="18"/>
                <w:szCs w:val="18"/>
                <w:lang w:eastAsia="en-US"/>
              </w:rPr>
            </w:pPr>
            <w:r w:rsidRPr="00320FEC">
              <w:rPr>
                <w:rFonts w:asciiTheme="minorHAnsi" w:hAnsiTheme="minorHAnsi"/>
                <w:sz w:val="18"/>
                <w:szCs w:val="18"/>
                <w:lang w:eastAsia="en-US"/>
              </w:rPr>
              <w:t>22,690</w:t>
            </w:r>
          </w:p>
        </w:tc>
        <w:tc>
          <w:tcPr>
            <w:tcW w:w="844" w:type="dxa"/>
          </w:tcPr>
          <w:p w:rsidR="00A96987" w:rsidRPr="00320FEC" w:rsidRDefault="006475C9" w:rsidP="009C02C9">
            <w:pPr>
              <w:jc w:val="right"/>
              <w:rPr>
                <w:rFonts w:asciiTheme="minorHAnsi" w:hAnsiTheme="minorHAnsi"/>
                <w:sz w:val="18"/>
                <w:szCs w:val="18"/>
                <w:lang w:eastAsia="en-US"/>
              </w:rPr>
            </w:pPr>
            <w:r>
              <w:rPr>
                <w:rFonts w:asciiTheme="minorHAnsi" w:hAnsiTheme="minorHAnsi"/>
                <w:sz w:val="18"/>
                <w:szCs w:val="18"/>
                <w:lang w:eastAsia="en-US"/>
              </w:rPr>
              <w:t>6</w:t>
            </w:r>
            <w:r w:rsidR="009C02C9">
              <w:rPr>
                <w:rFonts w:asciiTheme="minorHAnsi" w:hAnsiTheme="minorHAnsi"/>
                <w:sz w:val="18"/>
                <w:szCs w:val="18"/>
                <w:lang w:eastAsia="en-US"/>
              </w:rPr>
              <w:t>7,660</w:t>
            </w:r>
          </w:p>
        </w:tc>
        <w:tc>
          <w:tcPr>
            <w:tcW w:w="718" w:type="dxa"/>
          </w:tcPr>
          <w:p w:rsidR="00A96987" w:rsidRPr="00320FEC" w:rsidRDefault="009C02C9" w:rsidP="009C02C9">
            <w:pPr>
              <w:jc w:val="right"/>
              <w:rPr>
                <w:rFonts w:asciiTheme="minorHAnsi" w:hAnsiTheme="minorHAnsi"/>
                <w:sz w:val="18"/>
                <w:szCs w:val="18"/>
                <w:lang w:eastAsia="en-US"/>
              </w:rPr>
            </w:pPr>
            <w:r>
              <w:rPr>
                <w:rFonts w:asciiTheme="minorHAnsi" w:hAnsiTheme="minorHAnsi"/>
                <w:sz w:val="18"/>
                <w:szCs w:val="18"/>
                <w:lang w:eastAsia="en-US"/>
              </w:rPr>
              <w:t>32,460</w:t>
            </w:r>
          </w:p>
        </w:tc>
        <w:tc>
          <w:tcPr>
            <w:tcW w:w="718" w:type="dxa"/>
          </w:tcPr>
          <w:p w:rsidR="00A96987" w:rsidRPr="00320FEC" w:rsidRDefault="009C02C9" w:rsidP="009C02C9">
            <w:pPr>
              <w:jc w:val="right"/>
              <w:rPr>
                <w:rFonts w:asciiTheme="minorHAnsi" w:hAnsiTheme="minorHAnsi"/>
                <w:sz w:val="18"/>
                <w:szCs w:val="18"/>
                <w:lang w:eastAsia="en-US"/>
              </w:rPr>
            </w:pPr>
            <w:r>
              <w:rPr>
                <w:rFonts w:asciiTheme="minorHAnsi" w:hAnsiTheme="minorHAnsi"/>
                <w:sz w:val="18"/>
                <w:szCs w:val="18"/>
                <w:lang w:eastAsia="en-US"/>
              </w:rPr>
              <w:t>32,460</w:t>
            </w:r>
          </w:p>
        </w:tc>
        <w:tc>
          <w:tcPr>
            <w:tcW w:w="718" w:type="dxa"/>
          </w:tcPr>
          <w:p w:rsidR="00A96987" w:rsidRPr="00320FEC" w:rsidRDefault="009C02C9" w:rsidP="009C02C9">
            <w:pPr>
              <w:jc w:val="right"/>
              <w:rPr>
                <w:rFonts w:asciiTheme="minorHAnsi" w:hAnsiTheme="minorHAnsi"/>
                <w:sz w:val="18"/>
                <w:szCs w:val="18"/>
                <w:lang w:eastAsia="en-US"/>
              </w:rPr>
            </w:pPr>
            <w:r>
              <w:rPr>
                <w:rFonts w:asciiTheme="minorHAnsi" w:hAnsiTheme="minorHAnsi"/>
                <w:sz w:val="18"/>
                <w:szCs w:val="18"/>
                <w:lang w:eastAsia="en-US"/>
              </w:rPr>
              <w:t>32,460</w:t>
            </w:r>
          </w:p>
        </w:tc>
        <w:tc>
          <w:tcPr>
            <w:tcW w:w="809" w:type="dxa"/>
          </w:tcPr>
          <w:p w:rsidR="00A96987" w:rsidRPr="00320FEC" w:rsidRDefault="009C02C9" w:rsidP="009C02C9">
            <w:pPr>
              <w:jc w:val="right"/>
              <w:rPr>
                <w:rFonts w:asciiTheme="minorHAnsi" w:hAnsiTheme="minorHAnsi"/>
                <w:sz w:val="18"/>
                <w:szCs w:val="18"/>
                <w:lang w:eastAsia="en-US"/>
              </w:rPr>
            </w:pPr>
            <w:r>
              <w:rPr>
                <w:rFonts w:asciiTheme="minorHAnsi" w:hAnsiTheme="minorHAnsi"/>
                <w:sz w:val="18"/>
                <w:szCs w:val="18"/>
                <w:lang w:eastAsia="en-US"/>
              </w:rPr>
              <w:t>187,730</w:t>
            </w:r>
          </w:p>
        </w:tc>
      </w:tr>
    </w:tbl>
    <w:p w:rsidR="000D08CF" w:rsidRDefault="000D08CF" w:rsidP="00DA3B30">
      <w:pPr>
        <w:rPr>
          <w:rFonts w:asciiTheme="minorHAnsi" w:hAnsiTheme="minorHAnsi"/>
          <w:color w:val="1F497D"/>
          <w:sz w:val="24"/>
          <w:szCs w:val="24"/>
          <w:lang w:eastAsia="en-US"/>
        </w:rPr>
      </w:pPr>
    </w:p>
    <w:p w:rsidR="00FC4DB8" w:rsidRDefault="00FC4DB8" w:rsidP="00DA3B30">
      <w:pPr>
        <w:rPr>
          <w:rFonts w:asciiTheme="minorHAnsi" w:hAnsiTheme="minorHAnsi"/>
          <w:b/>
          <w:bCs/>
          <w:color w:val="0070C0"/>
          <w:sz w:val="24"/>
          <w:szCs w:val="24"/>
          <w:lang w:eastAsia="en-US"/>
        </w:rPr>
      </w:pPr>
    </w:p>
    <w:p w:rsidR="00DA3B30" w:rsidRPr="002727DA" w:rsidRDefault="00ED1CF2" w:rsidP="00DA3B30">
      <w:pPr>
        <w:rPr>
          <w:rFonts w:asciiTheme="minorHAnsi" w:hAnsiTheme="minorHAnsi"/>
          <w:b/>
          <w:bCs/>
          <w:color w:val="0070C0"/>
          <w:sz w:val="24"/>
          <w:szCs w:val="24"/>
          <w:lang w:eastAsia="en-US"/>
        </w:rPr>
      </w:pPr>
      <w:r w:rsidRPr="002727DA">
        <w:rPr>
          <w:rFonts w:asciiTheme="minorHAnsi" w:hAnsiTheme="minorHAnsi"/>
          <w:b/>
          <w:bCs/>
          <w:color w:val="0070C0"/>
          <w:sz w:val="24"/>
          <w:szCs w:val="24"/>
          <w:lang w:eastAsia="en-US"/>
        </w:rPr>
        <w:lastRenderedPageBreak/>
        <w:t xml:space="preserve">Options for financing </w:t>
      </w:r>
      <w:r w:rsidR="002727DA">
        <w:rPr>
          <w:rFonts w:asciiTheme="minorHAnsi" w:hAnsiTheme="minorHAnsi"/>
          <w:b/>
          <w:bCs/>
          <w:color w:val="0070C0"/>
          <w:sz w:val="24"/>
          <w:szCs w:val="24"/>
          <w:lang w:eastAsia="en-US"/>
        </w:rPr>
        <w:t>CCAT</w:t>
      </w:r>
    </w:p>
    <w:p w:rsidR="0069272E" w:rsidRPr="002727DA" w:rsidRDefault="0069272E" w:rsidP="00DA3B30">
      <w:pPr>
        <w:rPr>
          <w:rFonts w:asciiTheme="minorHAnsi" w:hAnsiTheme="minorHAnsi"/>
          <w:sz w:val="24"/>
          <w:szCs w:val="24"/>
          <w:lang w:val="en-US"/>
        </w:rPr>
      </w:pPr>
      <w:r w:rsidRPr="002727DA">
        <w:rPr>
          <w:rFonts w:asciiTheme="minorHAnsi" w:hAnsiTheme="minorHAnsi"/>
          <w:sz w:val="24"/>
          <w:szCs w:val="24"/>
          <w:lang w:val="en-US"/>
        </w:rPr>
        <w:t>1.    To develop the financing model, the following principles were used:</w:t>
      </w:r>
    </w:p>
    <w:p w:rsidR="0069272E" w:rsidRPr="002727DA" w:rsidRDefault="00DA3B30" w:rsidP="00417343">
      <w:pPr>
        <w:pStyle w:val="ListParagraph"/>
        <w:numPr>
          <w:ilvl w:val="0"/>
          <w:numId w:val="7"/>
        </w:numPr>
        <w:ind w:left="720" w:hanging="294"/>
        <w:rPr>
          <w:rFonts w:asciiTheme="minorHAnsi" w:hAnsiTheme="minorHAnsi"/>
          <w:b/>
          <w:bCs/>
          <w:sz w:val="24"/>
          <w:szCs w:val="24"/>
          <w:lang w:eastAsia="en-US"/>
        </w:rPr>
      </w:pPr>
      <w:r w:rsidRPr="002727DA">
        <w:rPr>
          <w:rFonts w:asciiTheme="minorHAnsi" w:hAnsiTheme="minorHAnsi"/>
          <w:sz w:val="24"/>
          <w:szCs w:val="24"/>
          <w:lang w:val="en-US"/>
        </w:rPr>
        <w:t>Keep the formula as simple as possible</w:t>
      </w:r>
      <w:r w:rsidR="002727DA" w:rsidRPr="002727DA">
        <w:rPr>
          <w:rFonts w:asciiTheme="minorHAnsi" w:hAnsiTheme="minorHAnsi"/>
          <w:sz w:val="24"/>
          <w:szCs w:val="24"/>
          <w:lang w:val="en-US"/>
        </w:rPr>
        <w:t>.</w:t>
      </w:r>
    </w:p>
    <w:p w:rsidR="0069272E" w:rsidRPr="002727DA" w:rsidRDefault="00DA3B30" w:rsidP="00F66146">
      <w:pPr>
        <w:pStyle w:val="ListParagraph"/>
        <w:numPr>
          <w:ilvl w:val="0"/>
          <w:numId w:val="7"/>
        </w:numPr>
        <w:ind w:left="720" w:hanging="294"/>
        <w:jc w:val="both"/>
        <w:rPr>
          <w:rFonts w:asciiTheme="minorHAnsi" w:hAnsiTheme="minorHAnsi"/>
          <w:b/>
          <w:bCs/>
          <w:sz w:val="24"/>
          <w:szCs w:val="24"/>
          <w:lang w:eastAsia="en-US"/>
        </w:rPr>
      </w:pPr>
      <w:r w:rsidRPr="002727DA">
        <w:rPr>
          <w:rFonts w:asciiTheme="minorHAnsi" w:hAnsiTheme="minorHAnsi"/>
          <w:sz w:val="24"/>
          <w:szCs w:val="24"/>
          <w:lang w:val="en-US"/>
        </w:rPr>
        <w:t>Pric</w:t>
      </w:r>
      <w:r w:rsidR="0069272E" w:rsidRPr="002727DA">
        <w:rPr>
          <w:rFonts w:asciiTheme="minorHAnsi" w:hAnsiTheme="minorHAnsi"/>
          <w:sz w:val="24"/>
          <w:szCs w:val="24"/>
          <w:lang w:val="en-US"/>
        </w:rPr>
        <w:t xml:space="preserve">e to </w:t>
      </w:r>
      <w:r w:rsidR="00CB79E6">
        <w:rPr>
          <w:rFonts w:asciiTheme="minorHAnsi" w:hAnsiTheme="minorHAnsi"/>
          <w:sz w:val="24"/>
          <w:szCs w:val="24"/>
          <w:lang w:val="en-US"/>
        </w:rPr>
        <w:t xml:space="preserve">encourage broad commitment in principle </w:t>
      </w:r>
      <w:r w:rsidR="0069272E" w:rsidRPr="002727DA">
        <w:rPr>
          <w:rFonts w:asciiTheme="minorHAnsi" w:hAnsiTheme="minorHAnsi"/>
          <w:sz w:val="24"/>
          <w:szCs w:val="24"/>
          <w:lang w:val="en-US"/>
        </w:rPr>
        <w:t>– recognized</w:t>
      </w:r>
      <w:r w:rsidRPr="002727DA">
        <w:rPr>
          <w:rFonts w:asciiTheme="minorHAnsi" w:hAnsiTheme="minorHAnsi"/>
          <w:sz w:val="24"/>
          <w:szCs w:val="24"/>
          <w:lang w:val="en-US"/>
        </w:rPr>
        <w:t xml:space="preserve"> as an expense by the </w:t>
      </w:r>
      <w:r w:rsidR="00CB79E6">
        <w:rPr>
          <w:rFonts w:asciiTheme="minorHAnsi" w:hAnsiTheme="minorHAnsi"/>
          <w:sz w:val="24"/>
          <w:szCs w:val="24"/>
          <w:lang w:val="en-US"/>
        </w:rPr>
        <w:t>signatory institution</w:t>
      </w:r>
      <w:r w:rsidRPr="002727DA">
        <w:rPr>
          <w:rFonts w:asciiTheme="minorHAnsi" w:hAnsiTheme="minorHAnsi"/>
          <w:sz w:val="24"/>
          <w:szCs w:val="24"/>
          <w:lang w:val="en-US"/>
        </w:rPr>
        <w:t xml:space="preserve"> (recall that there is a first signatory on the document – agreement in principle but not</w:t>
      </w:r>
      <w:r w:rsidR="00CB79E6">
        <w:rPr>
          <w:rFonts w:asciiTheme="minorHAnsi" w:hAnsiTheme="minorHAnsi"/>
          <w:sz w:val="24"/>
          <w:szCs w:val="24"/>
          <w:lang w:val="en-US"/>
        </w:rPr>
        <w:t xml:space="preserve"> full</w:t>
      </w:r>
      <w:r w:rsidRPr="002727DA">
        <w:rPr>
          <w:rFonts w:asciiTheme="minorHAnsi" w:hAnsiTheme="minorHAnsi"/>
          <w:sz w:val="24"/>
          <w:szCs w:val="24"/>
          <w:lang w:val="en-US"/>
        </w:rPr>
        <w:t xml:space="preserve"> commitment)</w:t>
      </w:r>
      <w:r w:rsidR="002727DA" w:rsidRPr="002727DA">
        <w:rPr>
          <w:rFonts w:asciiTheme="minorHAnsi" w:hAnsiTheme="minorHAnsi"/>
          <w:sz w:val="24"/>
          <w:szCs w:val="24"/>
          <w:lang w:val="en-US"/>
        </w:rPr>
        <w:t>.</w:t>
      </w:r>
    </w:p>
    <w:p w:rsidR="0069272E" w:rsidRPr="002727DA" w:rsidRDefault="00DA3B30" w:rsidP="00481C0A">
      <w:pPr>
        <w:pStyle w:val="ListParagraph"/>
        <w:numPr>
          <w:ilvl w:val="0"/>
          <w:numId w:val="7"/>
        </w:numPr>
        <w:ind w:left="720" w:hanging="294"/>
        <w:jc w:val="both"/>
        <w:rPr>
          <w:rFonts w:asciiTheme="minorHAnsi" w:hAnsiTheme="minorHAnsi"/>
          <w:b/>
          <w:bCs/>
          <w:sz w:val="24"/>
          <w:szCs w:val="24"/>
          <w:lang w:eastAsia="en-US"/>
        </w:rPr>
      </w:pPr>
      <w:r w:rsidRPr="002727DA">
        <w:rPr>
          <w:rFonts w:asciiTheme="minorHAnsi" w:hAnsiTheme="minorHAnsi"/>
          <w:sz w:val="24"/>
          <w:szCs w:val="24"/>
          <w:lang w:val="en-US"/>
        </w:rPr>
        <w:t>Price to encou</w:t>
      </w:r>
      <w:r w:rsidR="0069272E" w:rsidRPr="002727DA">
        <w:rPr>
          <w:rFonts w:asciiTheme="minorHAnsi" w:hAnsiTheme="minorHAnsi"/>
          <w:sz w:val="24"/>
          <w:szCs w:val="24"/>
          <w:lang w:val="en-US"/>
        </w:rPr>
        <w:t>rage</w:t>
      </w:r>
      <w:r w:rsidR="00CB79E6">
        <w:rPr>
          <w:rFonts w:asciiTheme="minorHAnsi" w:hAnsiTheme="minorHAnsi"/>
          <w:sz w:val="24"/>
          <w:szCs w:val="24"/>
          <w:lang w:val="en-US"/>
        </w:rPr>
        <w:t xml:space="preserve"> full</w:t>
      </w:r>
      <w:r w:rsidR="0069272E" w:rsidRPr="002727DA">
        <w:rPr>
          <w:rFonts w:asciiTheme="minorHAnsi" w:hAnsiTheme="minorHAnsi"/>
          <w:sz w:val="24"/>
          <w:szCs w:val="24"/>
          <w:lang w:val="en-US"/>
        </w:rPr>
        <w:t xml:space="preserve"> participation – recognized </w:t>
      </w:r>
      <w:r w:rsidRPr="002727DA">
        <w:rPr>
          <w:rFonts w:asciiTheme="minorHAnsi" w:hAnsiTheme="minorHAnsi"/>
          <w:sz w:val="24"/>
          <w:szCs w:val="24"/>
          <w:lang w:val="en-US"/>
        </w:rPr>
        <w:t xml:space="preserve">as an expense by the </w:t>
      </w:r>
      <w:r w:rsidR="00CB79E6">
        <w:rPr>
          <w:rFonts w:asciiTheme="minorHAnsi" w:hAnsiTheme="minorHAnsi"/>
          <w:sz w:val="24"/>
          <w:szCs w:val="24"/>
          <w:lang w:val="en-US"/>
        </w:rPr>
        <w:t>participating</w:t>
      </w:r>
      <w:r w:rsidR="00FC4DB8">
        <w:rPr>
          <w:rFonts w:asciiTheme="minorHAnsi" w:hAnsiTheme="minorHAnsi"/>
          <w:sz w:val="24"/>
          <w:szCs w:val="24"/>
          <w:lang w:val="en-US"/>
        </w:rPr>
        <w:t xml:space="preserve"> institution</w:t>
      </w:r>
      <w:r w:rsidR="005A55B0">
        <w:rPr>
          <w:rFonts w:asciiTheme="minorHAnsi" w:hAnsiTheme="minorHAnsi"/>
          <w:sz w:val="24"/>
          <w:szCs w:val="24"/>
          <w:lang w:val="en-US"/>
        </w:rPr>
        <w:t xml:space="preserve"> </w:t>
      </w:r>
      <w:r w:rsidRPr="002727DA">
        <w:rPr>
          <w:rFonts w:asciiTheme="minorHAnsi" w:hAnsiTheme="minorHAnsi"/>
          <w:sz w:val="24"/>
          <w:szCs w:val="24"/>
          <w:lang w:val="en-US"/>
        </w:rPr>
        <w:t>(recall the second signatory on the document – agreement to use and commit funding)</w:t>
      </w:r>
      <w:r w:rsidR="002727DA" w:rsidRPr="002727DA">
        <w:rPr>
          <w:rFonts w:asciiTheme="minorHAnsi" w:hAnsiTheme="minorHAnsi"/>
          <w:sz w:val="24"/>
          <w:szCs w:val="24"/>
          <w:lang w:val="en-US"/>
        </w:rPr>
        <w:t>.</w:t>
      </w:r>
    </w:p>
    <w:p w:rsidR="00DA3B30" w:rsidRPr="002727DA" w:rsidRDefault="00DA3B30" w:rsidP="00481C0A">
      <w:pPr>
        <w:pStyle w:val="ListParagraph"/>
        <w:numPr>
          <w:ilvl w:val="0"/>
          <w:numId w:val="7"/>
        </w:numPr>
        <w:ind w:left="720" w:hanging="294"/>
        <w:jc w:val="both"/>
        <w:rPr>
          <w:rFonts w:asciiTheme="minorHAnsi" w:hAnsiTheme="minorHAnsi"/>
          <w:b/>
          <w:bCs/>
          <w:sz w:val="24"/>
          <w:szCs w:val="24"/>
          <w:lang w:eastAsia="en-US"/>
        </w:rPr>
      </w:pPr>
      <w:r w:rsidRPr="002727DA">
        <w:rPr>
          <w:rFonts w:asciiTheme="minorHAnsi" w:hAnsiTheme="minorHAnsi"/>
          <w:sz w:val="24"/>
          <w:szCs w:val="24"/>
          <w:lang w:val="en-US"/>
        </w:rPr>
        <w:t xml:space="preserve">Price to </w:t>
      </w:r>
      <w:r w:rsidR="0069272E" w:rsidRPr="002727DA">
        <w:rPr>
          <w:rFonts w:asciiTheme="minorHAnsi" w:hAnsiTheme="minorHAnsi"/>
          <w:sz w:val="24"/>
          <w:szCs w:val="24"/>
          <w:lang w:val="en-US"/>
        </w:rPr>
        <w:t xml:space="preserve">also </w:t>
      </w:r>
      <w:r w:rsidRPr="002727DA">
        <w:rPr>
          <w:rFonts w:asciiTheme="minorHAnsi" w:hAnsiTheme="minorHAnsi"/>
          <w:sz w:val="24"/>
          <w:szCs w:val="24"/>
          <w:lang w:val="en-US"/>
        </w:rPr>
        <w:t xml:space="preserve">encourage recognition that this is a needed </w:t>
      </w:r>
      <w:r w:rsidR="002727DA" w:rsidRPr="002727DA">
        <w:rPr>
          <w:rFonts w:asciiTheme="minorHAnsi" w:hAnsiTheme="minorHAnsi"/>
          <w:sz w:val="24"/>
          <w:szCs w:val="24"/>
          <w:lang w:val="en-US"/>
        </w:rPr>
        <w:t>i</w:t>
      </w:r>
      <w:r w:rsidRPr="002727DA">
        <w:rPr>
          <w:rFonts w:asciiTheme="minorHAnsi" w:hAnsiTheme="minorHAnsi"/>
          <w:sz w:val="24"/>
          <w:szCs w:val="24"/>
          <w:lang w:val="en-US"/>
        </w:rPr>
        <w:t xml:space="preserve">nvestment for the regional public good of </w:t>
      </w:r>
      <w:r w:rsidR="0069272E" w:rsidRPr="002727DA">
        <w:rPr>
          <w:rFonts w:asciiTheme="minorHAnsi" w:hAnsiTheme="minorHAnsi"/>
          <w:sz w:val="24"/>
          <w:szCs w:val="24"/>
          <w:lang w:val="en-US"/>
        </w:rPr>
        <w:t>CARICOM Institutions</w:t>
      </w:r>
      <w:r w:rsidR="002727DA" w:rsidRPr="002727DA">
        <w:rPr>
          <w:rFonts w:asciiTheme="minorHAnsi" w:hAnsiTheme="minorHAnsi"/>
          <w:sz w:val="24"/>
          <w:szCs w:val="24"/>
          <w:lang w:val="en-US"/>
        </w:rPr>
        <w:t>.</w:t>
      </w:r>
      <w:r w:rsidR="0069272E" w:rsidRPr="002727DA">
        <w:rPr>
          <w:rFonts w:asciiTheme="minorHAnsi" w:hAnsiTheme="minorHAnsi"/>
          <w:sz w:val="24"/>
          <w:szCs w:val="24"/>
          <w:lang w:val="en-US"/>
        </w:rPr>
        <w:t xml:space="preserve"> </w:t>
      </w:r>
      <w:r w:rsidRPr="002727DA">
        <w:rPr>
          <w:rFonts w:asciiTheme="minorHAnsi" w:hAnsiTheme="minorHAnsi"/>
          <w:sz w:val="24"/>
          <w:szCs w:val="24"/>
          <w:lang w:val="en-US"/>
        </w:rPr>
        <w:t xml:space="preserve"> </w:t>
      </w:r>
    </w:p>
    <w:p w:rsidR="00DA3B30" w:rsidRPr="002727DA" w:rsidRDefault="0069272E" w:rsidP="00481C0A">
      <w:pPr>
        <w:pStyle w:val="ListParagraph"/>
        <w:numPr>
          <w:ilvl w:val="0"/>
          <w:numId w:val="7"/>
        </w:numPr>
        <w:ind w:left="720" w:hanging="294"/>
        <w:jc w:val="both"/>
        <w:rPr>
          <w:rFonts w:asciiTheme="minorHAnsi" w:hAnsiTheme="minorHAnsi"/>
          <w:sz w:val="24"/>
          <w:szCs w:val="24"/>
          <w:lang w:val="en-US"/>
        </w:rPr>
      </w:pPr>
      <w:r w:rsidRPr="002727DA">
        <w:rPr>
          <w:rFonts w:asciiTheme="minorHAnsi" w:hAnsiTheme="minorHAnsi"/>
          <w:sz w:val="24"/>
          <w:szCs w:val="24"/>
          <w:lang w:val="en-US"/>
        </w:rPr>
        <w:t>Arguably, l</w:t>
      </w:r>
      <w:r w:rsidR="00DA3B30" w:rsidRPr="002727DA">
        <w:rPr>
          <w:rFonts w:asciiTheme="minorHAnsi" w:hAnsiTheme="minorHAnsi"/>
          <w:sz w:val="24"/>
          <w:szCs w:val="24"/>
          <w:lang w:val="en-US"/>
        </w:rPr>
        <w:t>arger organizations may use the CCAT less than smaller ones because their HR systems are more developed</w:t>
      </w:r>
      <w:r w:rsidR="002727DA" w:rsidRPr="002727DA">
        <w:rPr>
          <w:rFonts w:asciiTheme="minorHAnsi" w:hAnsiTheme="minorHAnsi"/>
          <w:sz w:val="24"/>
          <w:szCs w:val="24"/>
          <w:lang w:val="en-US"/>
        </w:rPr>
        <w:t>.</w:t>
      </w:r>
      <w:r w:rsidR="00DA3B30" w:rsidRPr="002727DA">
        <w:rPr>
          <w:rFonts w:asciiTheme="minorHAnsi" w:hAnsiTheme="minorHAnsi"/>
          <w:sz w:val="24"/>
          <w:szCs w:val="24"/>
          <w:lang w:val="en-US"/>
        </w:rPr>
        <w:t xml:space="preserve"> </w:t>
      </w:r>
    </w:p>
    <w:p w:rsidR="00DA3B30" w:rsidRPr="001B6E30" w:rsidRDefault="00DA3B30" w:rsidP="00DA3B30">
      <w:pPr>
        <w:rPr>
          <w:rFonts w:asciiTheme="minorHAnsi" w:hAnsiTheme="minorHAnsi"/>
          <w:b/>
          <w:bCs/>
          <w:sz w:val="18"/>
          <w:szCs w:val="24"/>
          <w:lang w:eastAsia="en-US"/>
        </w:rPr>
      </w:pPr>
    </w:p>
    <w:p w:rsidR="0069272E" w:rsidRPr="002727DA" w:rsidRDefault="0069272E" w:rsidP="00481C0A">
      <w:pPr>
        <w:pStyle w:val="ListParagraph"/>
        <w:numPr>
          <w:ilvl w:val="0"/>
          <w:numId w:val="8"/>
        </w:numPr>
        <w:ind w:left="360"/>
        <w:jc w:val="both"/>
        <w:rPr>
          <w:rFonts w:asciiTheme="minorHAnsi" w:hAnsiTheme="minorHAnsi"/>
          <w:bCs/>
          <w:sz w:val="24"/>
          <w:szCs w:val="24"/>
          <w:lang w:eastAsia="en-US"/>
        </w:rPr>
      </w:pPr>
      <w:r w:rsidRPr="002727DA">
        <w:rPr>
          <w:rFonts w:asciiTheme="minorHAnsi" w:hAnsiTheme="minorHAnsi"/>
          <w:bCs/>
          <w:sz w:val="24"/>
          <w:szCs w:val="24"/>
          <w:lang w:eastAsia="en-US"/>
        </w:rPr>
        <w:t>Using</w:t>
      </w:r>
      <w:r w:rsidRPr="002727DA">
        <w:rPr>
          <w:rFonts w:asciiTheme="minorHAnsi" w:hAnsiTheme="minorHAnsi"/>
          <w:b/>
          <w:bCs/>
          <w:sz w:val="24"/>
          <w:szCs w:val="24"/>
          <w:lang w:eastAsia="en-US"/>
        </w:rPr>
        <w:t xml:space="preserve"> </w:t>
      </w:r>
      <w:r w:rsidRPr="002727DA">
        <w:rPr>
          <w:rFonts w:asciiTheme="minorHAnsi" w:hAnsiTheme="minorHAnsi"/>
          <w:bCs/>
          <w:sz w:val="24"/>
          <w:szCs w:val="24"/>
          <w:lang w:eastAsia="en-US"/>
        </w:rPr>
        <w:t>these principles, various</w:t>
      </w:r>
      <w:r w:rsidR="001401D2" w:rsidRPr="002727DA">
        <w:rPr>
          <w:rFonts w:asciiTheme="minorHAnsi" w:hAnsiTheme="minorHAnsi"/>
          <w:bCs/>
          <w:sz w:val="24"/>
          <w:szCs w:val="24"/>
          <w:lang w:eastAsia="en-US"/>
        </w:rPr>
        <w:t xml:space="preserve"> financing</w:t>
      </w:r>
      <w:r w:rsidRPr="002727DA">
        <w:rPr>
          <w:rFonts w:asciiTheme="minorHAnsi" w:hAnsiTheme="minorHAnsi"/>
          <w:bCs/>
          <w:sz w:val="24"/>
          <w:szCs w:val="24"/>
          <w:lang w:eastAsia="en-US"/>
        </w:rPr>
        <w:t xml:space="preserve"> models </w:t>
      </w:r>
      <w:r w:rsidR="001401D2" w:rsidRPr="002727DA">
        <w:rPr>
          <w:rFonts w:asciiTheme="minorHAnsi" w:hAnsiTheme="minorHAnsi"/>
          <w:bCs/>
          <w:sz w:val="24"/>
          <w:szCs w:val="24"/>
          <w:lang w:eastAsia="en-US"/>
        </w:rPr>
        <w:t xml:space="preserve">and their pros and cons were </w:t>
      </w:r>
      <w:r w:rsidRPr="002727DA">
        <w:rPr>
          <w:rFonts w:asciiTheme="minorHAnsi" w:hAnsiTheme="minorHAnsi"/>
          <w:bCs/>
          <w:sz w:val="24"/>
          <w:szCs w:val="24"/>
          <w:lang w:eastAsia="en-US"/>
        </w:rPr>
        <w:t>explored:</w:t>
      </w:r>
    </w:p>
    <w:p w:rsidR="00DA3B30" w:rsidRPr="002727DA" w:rsidRDefault="00DA3B30" w:rsidP="002727DA">
      <w:pPr>
        <w:pStyle w:val="ListParagraph"/>
        <w:numPr>
          <w:ilvl w:val="0"/>
          <w:numId w:val="15"/>
        </w:numPr>
        <w:rPr>
          <w:rFonts w:asciiTheme="minorHAnsi" w:hAnsiTheme="minorHAnsi"/>
          <w:sz w:val="24"/>
          <w:szCs w:val="24"/>
          <w:lang w:val="en-US"/>
        </w:rPr>
      </w:pPr>
      <w:r w:rsidRPr="002727DA">
        <w:rPr>
          <w:rFonts w:asciiTheme="minorHAnsi" w:hAnsiTheme="minorHAnsi"/>
          <w:sz w:val="24"/>
          <w:szCs w:val="24"/>
          <w:lang w:val="en-US"/>
        </w:rPr>
        <w:t>Sharing Full Costs equally</w:t>
      </w:r>
    </w:p>
    <w:p w:rsidR="00DA3B30" w:rsidRPr="002727DA" w:rsidRDefault="00DA3B30" w:rsidP="002727DA">
      <w:pPr>
        <w:pStyle w:val="ListParagraph"/>
        <w:numPr>
          <w:ilvl w:val="0"/>
          <w:numId w:val="15"/>
        </w:numPr>
        <w:rPr>
          <w:rFonts w:asciiTheme="minorHAnsi" w:hAnsiTheme="minorHAnsi"/>
          <w:sz w:val="24"/>
          <w:szCs w:val="24"/>
          <w:lang w:val="en-US"/>
        </w:rPr>
      </w:pPr>
      <w:r w:rsidRPr="002727DA">
        <w:rPr>
          <w:rFonts w:asciiTheme="minorHAnsi" w:hAnsiTheme="minorHAnsi"/>
          <w:sz w:val="24"/>
          <w:szCs w:val="24"/>
          <w:lang w:val="en-US"/>
        </w:rPr>
        <w:t>Sharing Full Costs by # of Employees</w:t>
      </w:r>
    </w:p>
    <w:p w:rsidR="00E9400D" w:rsidRPr="002727DA" w:rsidRDefault="001401D2" w:rsidP="002727DA">
      <w:pPr>
        <w:pStyle w:val="ListParagraph"/>
        <w:numPr>
          <w:ilvl w:val="0"/>
          <w:numId w:val="15"/>
        </w:numPr>
        <w:rPr>
          <w:rFonts w:asciiTheme="minorHAnsi" w:hAnsiTheme="minorHAnsi"/>
          <w:sz w:val="24"/>
          <w:szCs w:val="24"/>
          <w:lang w:val="en-US"/>
        </w:rPr>
      </w:pPr>
      <w:r w:rsidRPr="002727DA">
        <w:rPr>
          <w:rFonts w:asciiTheme="minorHAnsi" w:hAnsiTheme="minorHAnsi"/>
          <w:sz w:val="24"/>
          <w:szCs w:val="24"/>
          <w:lang w:val="en-US"/>
        </w:rPr>
        <w:t xml:space="preserve">Sharing </w:t>
      </w:r>
      <w:r w:rsidR="00E5239A">
        <w:rPr>
          <w:rFonts w:asciiTheme="minorHAnsi" w:hAnsiTheme="minorHAnsi"/>
          <w:sz w:val="24"/>
          <w:szCs w:val="24"/>
          <w:lang w:val="en-US"/>
        </w:rPr>
        <w:t xml:space="preserve">Recurrent </w:t>
      </w:r>
      <w:r w:rsidR="00DA3B30" w:rsidRPr="002727DA">
        <w:rPr>
          <w:rFonts w:asciiTheme="minorHAnsi" w:hAnsiTheme="minorHAnsi"/>
          <w:sz w:val="24"/>
          <w:szCs w:val="24"/>
          <w:lang w:val="en-US"/>
        </w:rPr>
        <w:t>Costs Equally and Variable Costs shared by # Employees</w:t>
      </w:r>
    </w:p>
    <w:p w:rsidR="0069272E" w:rsidRPr="002727DA" w:rsidRDefault="001401D2" w:rsidP="00481C0A">
      <w:pPr>
        <w:pStyle w:val="ListParagraph"/>
        <w:numPr>
          <w:ilvl w:val="0"/>
          <w:numId w:val="15"/>
        </w:numPr>
        <w:jc w:val="both"/>
        <w:rPr>
          <w:rFonts w:asciiTheme="minorHAnsi" w:hAnsiTheme="minorHAnsi"/>
          <w:sz w:val="24"/>
          <w:szCs w:val="24"/>
        </w:rPr>
      </w:pPr>
      <w:r w:rsidRPr="002727DA">
        <w:rPr>
          <w:rFonts w:asciiTheme="minorHAnsi" w:hAnsiTheme="minorHAnsi"/>
          <w:sz w:val="24"/>
          <w:szCs w:val="24"/>
          <w:lang w:val="en-US"/>
        </w:rPr>
        <w:t>Sharing</w:t>
      </w:r>
      <w:r w:rsidR="0069272E" w:rsidRPr="002727DA">
        <w:rPr>
          <w:rFonts w:asciiTheme="minorHAnsi" w:hAnsiTheme="minorHAnsi"/>
          <w:sz w:val="24"/>
          <w:szCs w:val="24"/>
          <w:lang w:val="en-US"/>
        </w:rPr>
        <w:t xml:space="preserve"> </w:t>
      </w:r>
      <w:r w:rsidR="00E5239A">
        <w:rPr>
          <w:rFonts w:asciiTheme="minorHAnsi" w:hAnsiTheme="minorHAnsi"/>
          <w:sz w:val="24"/>
          <w:szCs w:val="24"/>
          <w:lang w:val="en-US"/>
        </w:rPr>
        <w:t xml:space="preserve">Recurrent </w:t>
      </w:r>
      <w:r w:rsidR="0069272E" w:rsidRPr="002727DA">
        <w:rPr>
          <w:rFonts w:asciiTheme="minorHAnsi" w:hAnsiTheme="minorHAnsi"/>
          <w:sz w:val="24"/>
          <w:szCs w:val="24"/>
          <w:lang w:val="en-US"/>
        </w:rPr>
        <w:t xml:space="preserve">Costs Equally and % Variable Costs shared by # Employees </w:t>
      </w:r>
      <w:r w:rsidR="002727DA" w:rsidRPr="002727DA">
        <w:rPr>
          <w:rFonts w:asciiTheme="minorHAnsi" w:hAnsiTheme="minorHAnsi"/>
          <w:sz w:val="24"/>
          <w:szCs w:val="24"/>
          <w:lang w:val="en-US"/>
        </w:rPr>
        <w:t xml:space="preserve">with </w:t>
      </w:r>
      <w:r w:rsidR="0069272E" w:rsidRPr="002727DA">
        <w:rPr>
          <w:rFonts w:asciiTheme="minorHAnsi" w:hAnsiTheme="minorHAnsi"/>
          <w:sz w:val="24"/>
          <w:szCs w:val="24"/>
          <w:lang w:val="en-US"/>
        </w:rPr>
        <w:t xml:space="preserve">balance of funding to be made </w:t>
      </w:r>
      <w:r w:rsidR="002727DA" w:rsidRPr="002727DA">
        <w:rPr>
          <w:rFonts w:asciiTheme="minorHAnsi" w:hAnsiTheme="minorHAnsi"/>
          <w:sz w:val="24"/>
          <w:szCs w:val="24"/>
          <w:lang w:val="en-US"/>
        </w:rPr>
        <w:t>from f</w:t>
      </w:r>
      <w:r w:rsidR="0069272E" w:rsidRPr="002727DA">
        <w:rPr>
          <w:rFonts w:asciiTheme="minorHAnsi" w:hAnsiTheme="minorHAnsi"/>
          <w:sz w:val="24"/>
          <w:szCs w:val="24"/>
          <w:lang w:val="en-US"/>
        </w:rPr>
        <w:t>iling</w:t>
      </w:r>
      <w:r w:rsidR="0069272E" w:rsidRPr="002727DA">
        <w:rPr>
          <w:rFonts w:asciiTheme="minorHAnsi" w:hAnsiTheme="minorHAnsi"/>
          <w:sz w:val="24"/>
          <w:szCs w:val="24"/>
        </w:rPr>
        <w:t xml:space="preserve"> fees</w:t>
      </w:r>
      <w:r w:rsidR="002727DA" w:rsidRPr="002727DA">
        <w:rPr>
          <w:rFonts w:asciiTheme="minorHAnsi" w:hAnsiTheme="minorHAnsi"/>
          <w:sz w:val="24"/>
          <w:szCs w:val="24"/>
        </w:rPr>
        <w:t>.</w:t>
      </w:r>
      <w:r w:rsidR="0069272E" w:rsidRPr="002727DA">
        <w:rPr>
          <w:rFonts w:asciiTheme="minorHAnsi" w:hAnsiTheme="minorHAnsi"/>
          <w:sz w:val="24"/>
          <w:szCs w:val="24"/>
        </w:rPr>
        <w:t xml:space="preserve"> </w:t>
      </w:r>
    </w:p>
    <w:p w:rsidR="001401D2" w:rsidRPr="001B6E30" w:rsidRDefault="001401D2" w:rsidP="001401D2">
      <w:pPr>
        <w:pStyle w:val="ListParagraph"/>
        <w:ind w:left="1440"/>
        <w:rPr>
          <w:rFonts w:asciiTheme="minorHAnsi" w:hAnsiTheme="minorHAnsi"/>
          <w:sz w:val="16"/>
          <w:szCs w:val="24"/>
        </w:rPr>
      </w:pPr>
    </w:p>
    <w:p w:rsidR="001401D2" w:rsidRPr="002727DA" w:rsidRDefault="001401D2" w:rsidP="00481C0A">
      <w:pPr>
        <w:pStyle w:val="ListParagraph"/>
        <w:numPr>
          <w:ilvl w:val="0"/>
          <w:numId w:val="8"/>
        </w:numPr>
        <w:ind w:left="360"/>
        <w:jc w:val="both"/>
        <w:rPr>
          <w:rFonts w:asciiTheme="minorHAnsi" w:hAnsiTheme="minorHAnsi"/>
          <w:b/>
          <w:sz w:val="24"/>
          <w:szCs w:val="24"/>
        </w:rPr>
      </w:pPr>
      <w:r w:rsidRPr="002727DA">
        <w:rPr>
          <w:rFonts w:asciiTheme="minorHAnsi" w:hAnsiTheme="minorHAnsi"/>
          <w:sz w:val="24"/>
          <w:szCs w:val="24"/>
        </w:rPr>
        <w:t>The select</w:t>
      </w:r>
      <w:r w:rsidR="008A5F4D" w:rsidRPr="002727DA">
        <w:rPr>
          <w:rFonts w:asciiTheme="minorHAnsi" w:hAnsiTheme="minorHAnsi"/>
          <w:sz w:val="24"/>
          <w:szCs w:val="24"/>
        </w:rPr>
        <w:t>ed model was a variant of Option C</w:t>
      </w:r>
      <w:r w:rsidR="008A5F4D" w:rsidRPr="002727DA">
        <w:rPr>
          <w:rFonts w:asciiTheme="minorHAnsi" w:hAnsiTheme="minorHAnsi"/>
          <w:b/>
          <w:sz w:val="24"/>
          <w:szCs w:val="24"/>
        </w:rPr>
        <w:t xml:space="preserve">, </w:t>
      </w:r>
      <w:r w:rsidR="008A5F4D" w:rsidRPr="002727DA">
        <w:rPr>
          <w:rFonts w:asciiTheme="minorHAnsi" w:hAnsiTheme="minorHAnsi"/>
          <w:sz w:val="24"/>
          <w:szCs w:val="24"/>
        </w:rPr>
        <w:t>that is,</w:t>
      </w:r>
      <w:r w:rsidR="008A5F4D" w:rsidRPr="002727DA">
        <w:rPr>
          <w:rFonts w:asciiTheme="minorHAnsi" w:hAnsiTheme="minorHAnsi"/>
          <w:b/>
          <w:sz w:val="24"/>
          <w:szCs w:val="24"/>
        </w:rPr>
        <w:t xml:space="preserve"> </w:t>
      </w:r>
      <w:r w:rsidRPr="002727DA">
        <w:rPr>
          <w:rFonts w:asciiTheme="minorHAnsi" w:hAnsiTheme="minorHAnsi"/>
          <w:b/>
          <w:bCs/>
          <w:sz w:val="24"/>
          <w:szCs w:val="24"/>
          <w:lang w:eastAsia="en-US"/>
        </w:rPr>
        <w:t xml:space="preserve">Sharing </w:t>
      </w:r>
      <w:r w:rsidR="00E5239A">
        <w:rPr>
          <w:rFonts w:asciiTheme="minorHAnsi" w:hAnsiTheme="minorHAnsi"/>
          <w:b/>
          <w:bCs/>
          <w:sz w:val="24"/>
          <w:szCs w:val="24"/>
          <w:lang w:eastAsia="en-US"/>
        </w:rPr>
        <w:t xml:space="preserve">Recurrent </w:t>
      </w:r>
      <w:r w:rsidRPr="002727DA">
        <w:rPr>
          <w:rFonts w:asciiTheme="minorHAnsi" w:hAnsiTheme="minorHAnsi"/>
          <w:b/>
          <w:bCs/>
          <w:sz w:val="24"/>
          <w:szCs w:val="24"/>
          <w:lang w:eastAsia="en-US"/>
        </w:rPr>
        <w:t xml:space="preserve">Costs </w:t>
      </w:r>
      <w:r w:rsidR="001414D7">
        <w:rPr>
          <w:rFonts w:asciiTheme="minorHAnsi" w:hAnsiTheme="minorHAnsi"/>
          <w:b/>
          <w:bCs/>
          <w:sz w:val="24"/>
          <w:szCs w:val="24"/>
          <w:lang w:eastAsia="en-US"/>
        </w:rPr>
        <w:t xml:space="preserve">(US$48,640) </w:t>
      </w:r>
      <w:r w:rsidRPr="002727DA">
        <w:rPr>
          <w:rFonts w:asciiTheme="minorHAnsi" w:hAnsiTheme="minorHAnsi"/>
          <w:b/>
          <w:bCs/>
          <w:sz w:val="24"/>
          <w:szCs w:val="24"/>
          <w:lang w:eastAsia="en-US"/>
        </w:rPr>
        <w:t>E</w:t>
      </w:r>
      <w:r w:rsidR="0063255D" w:rsidRPr="002727DA">
        <w:rPr>
          <w:rFonts w:asciiTheme="minorHAnsi" w:hAnsiTheme="minorHAnsi"/>
          <w:b/>
          <w:bCs/>
          <w:sz w:val="24"/>
          <w:szCs w:val="24"/>
          <w:lang w:eastAsia="en-US"/>
        </w:rPr>
        <w:t xml:space="preserve">qually </w:t>
      </w:r>
      <w:r w:rsidRPr="002727DA">
        <w:rPr>
          <w:rFonts w:asciiTheme="minorHAnsi" w:hAnsiTheme="minorHAnsi"/>
          <w:b/>
          <w:bCs/>
          <w:sz w:val="24"/>
          <w:szCs w:val="24"/>
          <w:u w:val="single"/>
          <w:lang w:eastAsia="en-US"/>
        </w:rPr>
        <w:t>plus</w:t>
      </w:r>
      <w:r w:rsidRPr="002727DA">
        <w:rPr>
          <w:rFonts w:asciiTheme="minorHAnsi" w:hAnsiTheme="minorHAnsi"/>
          <w:b/>
          <w:bCs/>
          <w:sz w:val="24"/>
          <w:szCs w:val="24"/>
          <w:lang w:eastAsia="en-US"/>
        </w:rPr>
        <w:t xml:space="preserve"> 20% Variable C</w:t>
      </w:r>
      <w:r w:rsidR="0063255D" w:rsidRPr="002727DA">
        <w:rPr>
          <w:rFonts w:asciiTheme="minorHAnsi" w:hAnsiTheme="minorHAnsi"/>
          <w:b/>
          <w:bCs/>
          <w:sz w:val="24"/>
          <w:szCs w:val="24"/>
          <w:lang w:eastAsia="en-US"/>
        </w:rPr>
        <w:t xml:space="preserve">osts </w:t>
      </w:r>
      <w:r w:rsidR="00105653">
        <w:rPr>
          <w:rFonts w:asciiTheme="minorHAnsi" w:hAnsiTheme="minorHAnsi"/>
          <w:b/>
          <w:bCs/>
          <w:sz w:val="24"/>
          <w:szCs w:val="24"/>
          <w:lang w:eastAsia="en-US"/>
        </w:rPr>
        <w:t xml:space="preserve">(US$81,600.00) </w:t>
      </w:r>
      <w:r w:rsidR="008A5F4D" w:rsidRPr="002727DA">
        <w:rPr>
          <w:rFonts w:asciiTheme="minorHAnsi" w:hAnsiTheme="minorHAnsi"/>
          <w:b/>
          <w:bCs/>
          <w:sz w:val="24"/>
          <w:szCs w:val="24"/>
          <w:lang w:eastAsia="en-US"/>
        </w:rPr>
        <w:t>Shared</w:t>
      </w:r>
      <w:r w:rsidRPr="002727DA">
        <w:rPr>
          <w:rFonts w:asciiTheme="minorHAnsi" w:hAnsiTheme="minorHAnsi"/>
          <w:b/>
          <w:bCs/>
          <w:sz w:val="24"/>
          <w:szCs w:val="24"/>
          <w:lang w:eastAsia="en-US"/>
        </w:rPr>
        <w:t xml:space="preserve"> E</w:t>
      </w:r>
      <w:r w:rsidR="0063255D" w:rsidRPr="002727DA">
        <w:rPr>
          <w:rFonts w:asciiTheme="minorHAnsi" w:hAnsiTheme="minorHAnsi"/>
          <w:b/>
          <w:bCs/>
          <w:sz w:val="24"/>
          <w:szCs w:val="24"/>
          <w:lang w:eastAsia="en-US"/>
        </w:rPr>
        <w:t>qually</w:t>
      </w:r>
      <w:r w:rsidR="008A5F4D" w:rsidRPr="002727DA">
        <w:rPr>
          <w:rFonts w:asciiTheme="minorHAnsi" w:hAnsiTheme="minorHAnsi"/>
          <w:b/>
          <w:bCs/>
          <w:sz w:val="24"/>
          <w:szCs w:val="24"/>
          <w:lang w:eastAsia="en-US"/>
        </w:rPr>
        <w:t xml:space="preserve"> for first signatories</w:t>
      </w:r>
      <w:r w:rsidR="0063255D" w:rsidRPr="002727DA">
        <w:rPr>
          <w:rFonts w:asciiTheme="minorHAnsi" w:hAnsiTheme="minorHAnsi"/>
          <w:b/>
          <w:bCs/>
          <w:sz w:val="24"/>
          <w:szCs w:val="24"/>
          <w:lang w:eastAsia="en-US"/>
        </w:rPr>
        <w:t xml:space="preserve"> </w:t>
      </w:r>
      <w:r w:rsidRPr="002727DA">
        <w:rPr>
          <w:rFonts w:asciiTheme="minorHAnsi" w:hAnsiTheme="minorHAnsi"/>
          <w:b/>
          <w:bCs/>
          <w:sz w:val="24"/>
          <w:szCs w:val="24"/>
          <w:u w:val="single"/>
          <w:lang w:eastAsia="en-US"/>
        </w:rPr>
        <w:t>and</w:t>
      </w:r>
      <w:r w:rsidRPr="002727DA">
        <w:rPr>
          <w:rFonts w:asciiTheme="minorHAnsi" w:hAnsiTheme="minorHAnsi"/>
          <w:b/>
          <w:bCs/>
          <w:sz w:val="24"/>
          <w:szCs w:val="24"/>
          <w:lang w:eastAsia="en-US"/>
        </w:rPr>
        <w:t xml:space="preserve"> 80% of Variable C</w:t>
      </w:r>
      <w:r w:rsidR="0063255D" w:rsidRPr="002727DA">
        <w:rPr>
          <w:rFonts w:asciiTheme="minorHAnsi" w:hAnsiTheme="minorHAnsi"/>
          <w:b/>
          <w:bCs/>
          <w:sz w:val="24"/>
          <w:szCs w:val="24"/>
          <w:lang w:eastAsia="en-US"/>
        </w:rPr>
        <w:t xml:space="preserve">osts </w:t>
      </w:r>
      <w:r w:rsidRPr="002727DA">
        <w:rPr>
          <w:rFonts w:asciiTheme="minorHAnsi" w:hAnsiTheme="minorHAnsi"/>
          <w:b/>
          <w:bCs/>
          <w:sz w:val="24"/>
          <w:szCs w:val="24"/>
          <w:lang w:eastAsia="en-US"/>
        </w:rPr>
        <w:t>Shared</w:t>
      </w:r>
      <w:r w:rsidR="0063255D" w:rsidRPr="002727DA">
        <w:rPr>
          <w:rFonts w:asciiTheme="minorHAnsi" w:hAnsiTheme="minorHAnsi"/>
          <w:b/>
          <w:bCs/>
          <w:sz w:val="24"/>
          <w:szCs w:val="24"/>
          <w:lang w:eastAsia="en-US"/>
        </w:rPr>
        <w:t xml:space="preserve"> by # Employees</w:t>
      </w:r>
      <w:r w:rsidR="008A5F4D" w:rsidRPr="002727DA">
        <w:rPr>
          <w:rFonts w:asciiTheme="minorHAnsi" w:hAnsiTheme="minorHAnsi"/>
          <w:b/>
          <w:bCs/>
          <w:sz w:val="24"/>
          <w:szCs w:val="24"/>
          <w:lang w:eastAsia="en-US"/>
        </w:rPr>
        <w:t xml:space="preserve"> for second signatories</w:t>
      </w:r>
      <w:r w:rsidR="00D15757">
        <w:rPr>
          <w:rFonts w:asciiTheme="minorHAnsi" w:hAnsiTheme="minorHAnsi"/>
          <w:b/>
          <w:bCs/>
          <w:sz w:val="24"/>
          <w:szCs w:val="24"/>
          <w:lang w:eastAsia="en-US"/>
        </w:rPr>
        <w:t xml:space="preserve"> yearly.</w:t>
      </w:r>
    </w:p>
    <w:p w:rsidR="001401D2" w:rsidRPr="001B6E30" w:rsidRDefault="001401D2" w:rsidP="001401D2">
      <w:pPr>
        <w:pStyle w:val="ListParagraph"/>
        <w:ind w:left="1080"/>
        <w:rPr>
          <w:rFonts w:asciiTheme="minorHAnsi" w:hAnsiTheme="minorHAnsi"/>
          <w:b/>
          <w:sz w:val="18"/>
          <w:szCs w:val="24"/>
        </w:rPr>
      </w:pPr>
    </w:p>
    <w:p w:rsidR="001401D2" w:rsidRPr="002727DA" w:rsidRDefault="001401D2" w:rsidP="00481C0A">
      <w:pPr>
        <w:ind w:left="426"/>
        <w:jc w:val="both"/>
        <w:rPr>
          <w:rFonts w:asciiTheme="minorHAnsi" w:hAnsiTheme="minorHAnsi"/>
          <w:sz w:val="24"/>
          <w:szCs w:val="24"/>
        </w:rPr>
      </w:pPr>
      <w:r w:rsidRPr="002727DA">
        <w:rPr>
          <w:rFonts w:asciiTheme="minorHAnsi" w:hAnsiTheme="minorHAnsi"/>
          <w:sz w:val="24"/>
          <w:szCs w:val="24"/>
        </w:rPr>
        <w:t xml:space="preserve">Thus, assuming </w:t>
      </w:r>
      <w:r w:rsidR="00AA2E78" w:rsidRPr="002727DA">
        <w:rPr>
          <w:rFonts w:asciiTheme="minorHAnsi" w:hAnsiTheme="minorHAnsi"/>
          <w:sz w:val="24"/>
          <w:szCs w:val="24"/>
        </w:rPr>
        <w:t xml:space="preserve">steady state of CCAT development i.e. from year 2, and </w:t>
      </w:r>
      <w:r w:rsidRPr="002727DA">
        <w:rPr>
          <w:rFonts w:asciiTheme="minorHAnsi" w:hAnsiTheme="minorHAnsi"/>
          <w:sz w:val="24"/>
          <w:szCs w:val="24"/>
        </w:rPr>
        <w:t xml:space="preserve">20 organizations </w:t>
      </w:r>
      <w:r w:rsidR="008A5F4D" w:rsidRPr="002727DA">
        <w:rPr>
          <w:rFonts w:asciiTheme="minorHAnsi" w:hAnsiTheme="minorHAnsi"/>
          <w:sz w:val="24"/>
          <w:szCs w:val="24"/>
        </w:rPr>
        <w:t>commit</w:t>
      </w:r>
      <w:r w:rsidR="00F66146">
        <w:rPr>
          <w:rFonts w:asciiTheme="minorHAnsi" w:hAnsiTheme="minorHAnsi"/>
          <w:sz w:val="24"/>
          <w:szCs w:val="24"/>
        </w:rPr>
        <w:t>ting</w:t>
      </w:r>
      <w:r w:rsidR="008A5F4D" w:rsidRPr="002727DA">
        <w:rPr>
          <w:rFonts w:asciiTheme="minorHAnsi" w:hAnsiTheme="minorHAnsi"/>
          <w:sz w:val="24"/>
          <w:szCs w:val="24"/>
        </w:rPr>
        <w:t xml:space="preserve"> to a first signature (Pool 1)</w:t>
      </w:r>
      <w:r w:rsidR="00F66146">
        <w:rPr>
          <w:rFonts w:asciiTheme="minorHAnsi" w:hAnsiTheme="minorHAnsi"/>
          <w:sz w:val="24"/>
          <w:szCs w:val="24"/>
        </w:rPr>
        <w:t>;</w:t>
      </w:r>
      <w:r w:rsidR="008A5F4D" w:rsidRPr="002727DA">
        <w:rPr>
          <w:rFonts w:asciiTheme="minorHAnsi" w:hAnsiTheme="minorHAnsi"/>
          <w:sz w:val="24"/>
          <w:szCs w:val="24"/>
        </w:rPr>
        <w:t xml:space="preserve"> and </w:t>
      </w:r>
      <w:r w:rsidRPr="002727DA">
        <w:rPr>
          <w:rFonts w:asciiTheme="minorHAnsi" w:hAnsiTheme="minorHAnsi"/>
          <w:sz w:val="24"/>
          <w:szCs w:val="24"/>
        </w:rPr>
        <w:t xml:space="preserve">four of </w:t>
      </w:r>
      <w:r w:rsidR="008A5F4D" w:rsidRPr="002727DA">
        <w:rPr>
          <w:rFonts w:asciiTheme="minorHAnsi" w:hAnsiTheme="minorHAnsi"/>
          <w:sz w:val="24"/>
          <w:szCs w:val="24"/>
        </w:rPr>
        <w:t>whom</w:t>
      </w:r>
      <w:r w:rsidRPr="002727DA">
        <w:rPr>
          <w:rFonts w:asciiTheme="minorHAnsi" w:hAnsiTheme="minorHAnsi"/>
          <w:sz w:val="24"/>
          <w:szCs w:val="24"/>
        </w:rPr>
        <w:t xml:space="preserve"> are very large</w:t>
      </w:r>
      <w:r w:rsidR="008A5F4D" w:rsidRPr="002727DA">
        <w:rPr>
          <w:rFonts w:asciiTheme="minorHAnsi" w:hAnsiTheme="minorHAnsi"/>
          <w:sz w:val="24"/>
          <w:szCs w:val="24"/>
        </w:rPr>
        <w:t xml:space="preserve"> and commit to the second signature (Pool 2 </w:t>
      </w:r>
      <w:r w:rsidR="00AA2E78" w:rsidRPr="002727DA">
        <w:rPr>
          <w:rFonts w:asciiTheme="minorHAnsi" w:hAnsiTheme="minorHAnsi"/>
          <w:sz w:val="24"/>
          <w:szCs w:val="24"/>
        </w:rPr>
        <w:t xml:space="preserve">- </w:t>
      </w:r>
      <w:r w:rsidR="008A5F4D" w:rsidRPr="002727DA">
        <w:rPr>
          <w:rFonts w:asciiTheme="minorHAnsi" w:hAnsiTheme="minorHAnsi"/>
          <w:sz w:val="24"/>
          <w:szCs w:val="24"/>
        </w:rPr>
        <w:t xml:space="preserve">estimated at </w:t>
      </w:r>
      <w:r w:rsidR="00E976D6">
        <w:rPr>
          <w:rFonts w:asciiTheme="minorHAnsi" w:hAnsiTheme="minorHAnsi"/>
          <w:sz w:val="24"/>
          <w:szCs w:val="24"/>
        </w:rPr>
        <w:t>&lt;</w:t>
      </w:r>
      <w:r w:rsidR="00320FEC">
        <w:rPr>
          <w:rFonts w:asciiTheme="minorHAnsi" w:hAnsiTheme="minorHAnsi"/>
          <w:sz w:val="24"/>
          <w:szCs w:val="24"/>
        </w:rPr>
        <w:t>4</w:t>
      </w:r>
      <w:r w:rsidR="008A5F4D" w:rsidRPr="002727DA">
        <w:rPr>
          <w:rFonts w:asciiTheme="minorHAnsi" w:hAnsiTheme="minorHAnsi"/>
          <w:sz w:val="24"/>
          <w:szCs w:val="24"/>
        </w:rPr>
        <w:t>00 employees)</w:t>
      </w:r>
      <w:r w:rsidRPr="002727DA">
        <w:rPr>
          <w:rFonts w:asciiTheme="minorHAnsi" w:hAnsiTheme="minorHAnsi"/>
          <w:sz w:val="24"/>
          <w:szCs w:val="24"/>
        </w:rPr>
        <w:t xml:space="preserve"> e.g. CXC, CARICOM Secretariat, CARDI</w:t>
      </w:r>
      <w:r w:rsidR="00F66146">
        <w:rPr>
          <w:rFonts w:asciiTheme="minorHAnsi" w:hAnsiTheme="minorHAnsi"/>
          <w:sz w:val="24"/>
          <w:szCs w:val="24"/>
        </w:rPr>
        <w:t xml:space="preserve"> and </w:t>
      </w:r>
      <w:r w:rsidR="002727DA" w:rsidRPr="002727DA">
        <w:rPr>
          <w:rFonts w:asciiTheme="minorHAnsi" w:hAnsiTheme="minorHAnsi"/>
          <w:sz w:val="24"/>
          <w:szCs w:val="24"/>
        </w:rPr>
        <w:t>CCJ</w:t>
      </w:r>
      <w:r w:rsidRPr="002727DA">
        <w:rPr>
          <w:rFonts w:asciiTheme="minorHAnsi" w:hAnsiTheme="minorHAnsi"/>
          <w:sz w:val="24"/>
          <w:szCs w:val="24"/>
        </w:rPr>
        <w:t xml:space="preserve">, the </w:t>
      </w:r>
      <w:r w:rsidR="008A5F4D" w:rsidRPr="002727DA">
        <w:rPr>
          <w:rFonts w:asciiTheme="minorHAnsi" w:hAnsiTheme="minorHAnsi"/>
          <w:sz w:val="24"/>
          <w:szCs w:val="24"/>
        </w:rPr>
        <w:t xml:space="preserve">contributions </w:t>
      </w:r>
      <w:r w:rsidR="00F66146">
        <w:rPr>
          <w:rFonts w:asciiTheme="minorHAnsi" w:hAnsiTheme="minorHAnsi"/>
          <w:sz w:val="24"/>
          <w:szCs w:val="24"/>
        </w:rPr>
        <w:t xml:space="preserve">would amount to: </w:t>
      </w:r>
    </w:p>
    <w:p w:rsidR="008A5F4D" w:rsidRPr="002727DA" w:rsidRDefault="008A5F4D" w:rsidP="002727DA">
      <w:pPr>
        <w:pStyle w:val="ListParagraph"/>
        <w:numPr>
          <w:ilvl w:val="0"/>
          <w:numId w:val="11"/>
        </w:numPr>
        <w:ind w:left="993" w:hanging="273"/>
        <w:rPr>
          <w:rFonts w:asciiTheme="minorHAnsi" w:hAnsiTheme="minorHAnsi"/>
          <w:sz w:val="24"/>
          <w:szCs w:val="24"/>
        </w:rPr>
      </w:pPr>
      <w:r w:rsidRPr="002727DA">
        <w:rPr>
          <w:rFonts w:asciiTheme="minorHAnsi" w:hAnsiTheme="minorHAnsi"/>
          <w:sz w:val="24"/>
          <w:szCs w:val="24"/>
        </w:rPr>
        <w:t>Pool 1: US$</w:t>
      </w:r>
      <w:r w:rsidR="001414D7">
        <w:rPr>
          <w:rFonts w:asciiTheme="minorHAnsi" w:hAnsiTheme="minorHAnsi"/>
          <w:sz w:val="24"/>
          <w:szCs w:val="24"/>
        </w:rPr>
        <w:t>7</w:t>
      </w:r>
      <w:r w:rsidR="00105653">
        <w:rPr>
          <w:rFonts w:asciiTheme="minorHAnsi" w:hAnsiTheme="minorHAnsi"/>
          <w:sz w:val="24"/>
          <w:szCs w:val="24"/>
        </w:rPr>
        <w:t>71.20</w:t>
      </w:r>
      <w:r w:rsidRPr="002727DA">
        <w:rPr>
          <w:rFonts w:asciiTheme="minorHAnsi" w:hAnsiTheme="minorHAnsi"/>
          <w:sz w:val="24"/>
          <w:szCs w:val="24"/>
        </w:rPr>
        <w:t xml:space="preserve"> per year per organization (i.e. $</w:t>
      </w:r>
      <w:r w:rsidR="001414D7">
        <w:rPr>
          <w:rFonts w:asciiTheme="minorHAnsi" w:hAnsiTheme="minorHAnsi"/>
          <w:sz w:val="24"/>
          <w:szCs w:val="24"/>
        </w:rPr>
        <w:t>608.00</w:t>
      </w:r>
      <w:r w:rsidRPr="002727DA">
        <w:rPr>
          <w:rFonts w:asciiTheme="minorHAnsi" w:hAnsiTheme="minorHAnsi"/>
          <w:sz w:val="24"/>
          <w:szCs w:val="24"/>
        </w:rPr>
        <w:t xml:space="preserve"> </w:t>
      </w:r>
      <w:r w:rsidR="001C29B9">
        <w:rPr>
          <w:rFonts w:asciiTheme="minorHAnsi" w:hAnsiTheme="minorHAnsi"/>
          <w:sz w:val="24"/>
          <w:szCs w:val="24"/>
        </w:rPr>
        <w:t xml:space="preserve">RC </w:t>
      </w:r>
      <w:r w:rsidRPr="002727DA">
        <w:rPr>
          <w:rFonts w:asciiTheme="minorHAnsi" w:hAnsiTheme="minorHAnsi"/>
          <w:sz w:val="24"/>
          <w:szCs w:val="24"/>
        </w:rPr>
        <w:t>+ $</w:t>
      </w:r>
      <w:r w:rsidR="001414D7">
        <w:rPr>
          <w:rFonts w:asciiTheme="minorHAnsi" w:hAnsiTheme="minorHAnsi"/>
          <w:sz w:val="24"/>
          <w:szCs w:val="24"/>
        </w:rPr>
        <w:t>163.20</w:t>
      </w:r>
      <w:r w:rsidR="001C29B9">
        <w:rPr>
          <w:rFonts w:asciiTheme="minorHAnsi" w:hAnsiTheme="minorHAnsi"/>
          <w:sz w:val="24"/>
          <w:szCs w:val="24"/>
        </w:rPr>
        <w:t xml:space="preserve"> </w:t>
      </w:r>
      <w:r w:rsidRPr="002727DA">
        <w:rPr>
          <w:rFonts w:asciiTheme="minorHAnsi" w:hAnsiTheme="minorHAnsi"/>
          <w:sz w:val="24"/>
          <w:szCs w:val="24"/>
        </w:rPr>
        <w:t>VC)</w:t>
      </w:r>
      <w:r w:rsidR="00A569AA">
        <w:rPr>
          <w:rFonts w:asciiTheme="minorHAnsi" w:hAnsiTheme="minorHAnsi"/>
          <w:sz w:val="24"/>
          <w:szCs w:val="24"/>
        </w:rPr>
        <w:t xml:space="preserve"> </w:t>
      </w:r>
      <w:r w:rsidR="00A569AA" w:rsidRPr="00A569AA">
        <w:rPr>
          <w:rFonts w:asciiTheme="minorHAnsi" w:hAnsiTheme="minorHAnsi"/>
          <w:b/>
          <w:sz w:val="24"/>
          <w:szCs w:val="24"/>
          <w:u w:val="single"/>
        </w:rPr>
        <w:softHyphen/>
        <w:t>plus</w:t>
      </w:r>
    </w:p>
    <w:p w:rsidR="00320FEC" w:rsidRDefault="008A5F4D" w:rsidP="002727DA">
      <w:pPr>
        <w:pStyle w:val="ListParagraph"/>
        <w:numPr>
          <w:ilvl w:val="0"/>
          <w:numId w:val="11"/>
        </w:numPr>
        <w:ind w:left="993" w:hanging="273"/>
        <w:rPr>
          <w:rFonts w:asciiTheme="minorHAnsi" w:hAnsiTheme="minorHAnsi"/>
          <w:sz w:val="24"/>
          <w:szCs w:val="24"/>
        </w:rPr>
      </w:pPr>
      <w:r w:rsidRPr="002727DA">
        <w:rPr>
          <w:rFonts w:asciiTheme="minorHAnsi" w:hAnsiTheme="minorHAnsi"/>
          <w:sz w:val="24"/>
          <w:szCs w:val="24"/>
        </w:rPr>
        <w:t>Pool 2: US$</w:t>
      </w:r>
      <w:r w:rsidR="001414D7">
        <w:rPr>
          <w:rFonts w:asciiTheme="minorHAnsi" w:hAnsiTheme="minorHAnsi"/>
          <w:sz w:val="24"/>
          <w:szCs w:val="24"/>
        </w:rPr>
        <w:t>3</w:t>
      </w:r>
      <w:r w:rsidR="00105653">
        <w:rPr>
          <w:rFonts w:asciiTheme="minorHAnsi" w:hAnsiTheme="minorHAnsi"/>
          <w:sz w:val="24"/>
          <w:szCs w:val="24"/>
        </w:rPr>
        <w:t>3</w:t>
      </w:r>
      <w:r w:rsidR="00320FEC">
        <w:rPr>
          <w:rFonts w:asciiTheme="minorHAnsi" w:hAnsiTheme="minorHAnsi"/>
          <w:sz w:val="24"/>
          <w:szCs w:val="24"/>
        </w:rPr>
        <w:t>.00</w:t>
      </w:r>
      <w:r w:rsidRPr="002727DA">
        <w:rPr>
          <w:rFonts w:asciiTheme="minorHAnsi" w:hAnsiTheme="minorHAnsi"/>
          <w:sz w:val="24"/>
          <w:szCs w:val="24"/>
        </w:rPr>
        <w:t xml:space="preserve"> per person </w:t>
      </w:r>
      <w:r w:rsidR="00D15757">
        <w:rPr>
          <w:rFonts w:asciiTheme="minorHAnsi" w:hAnsiTheme="minorHAnsi"/>
          <w:sz w:val="24"/>
          <w:szCs w:val="24"/>
        </w:rPr>
        <w:t>per year</w:t>
      </w:r>
    </w:p>
    <w:p w:rsidR="00320FEC" w:rsidRPr="00BE62B2" w:rsidRDefault="00320FEC" w:rsidP="00320FEC">
      <w:pPr>
        <w:pStyle w:val="ListParagraph"/>
        <w:ind w:left="993"/>
        <w:rPr>
          <w:rFonts w:asciiTheme="minorHAnsi" w:hAnsiTheme="minorHAnsi"/>
          <w:sz w:val="8"/>
          <w:szCs w:val="24"/>
        </w:rPr>
      </w:pPr>
    </w:p>
    <w:p w:rsidR="00AA2E78" w:rsidRDefault="002727DA" w:rsidP="00481C0A">
      <w:pPr>
        <w:ind w:left="450" w:hanging="24"/>
        <w:jc w:val="both"/>
        <w:rPr>
          <w:rFonts w:asciiTheme="minorHAnsi" w:hAnsiTheme="minorHAnsi"/>
          <w:b/>
          <w:sz w:val="24"/>
          <w:szCs w:val="24"/>
        </w:rPr>
      </w:pPr>
      <w:r w:rsidRPr="002727DA">
        <w:rPr>
          <w:rFonts w:asciiTheme="minorHAnsi" w:hAnsiTheme="minorHAnsi"/>
          <w:b/>
          <w:sz w:val="24"/>
          <w:szCs w:val="24"/>
        </w:rPr>
        <w:t>These f</w:t>
      </w:r>
      <w:r w:rsidR="00AA2E78" w:rsidRPr="002727DA">
        <w:rPr>
          <w:rFonts w:asciiTheme="minorHAnsi" w:hAnsiTheme="minorHAnsi"/>
          <w:b/>
          <w:sz w:val="24"/>
          <w:szCs w:val="24"/>
        </w:rPr>
        <w:t xml:space="preserve">igures will vary according to </w:t>
      </w:r>
      <w:r w:rsidRPr="002727DA">
        <w:rPr>
          <w:rFonts w:asciiTheme="minorHAnsi" w:hAnsiTheme="minorHAnsi"/>
          <w:b/>
          <w:sz w:val="24"/>
          <w:szCs w:val="24"/>
        </w:rPr>
        <w:t xml:space="preserve">the </w:t>
      </w:r>
      <w:r w:rsidR="00AA2E78" w:rsidRPr="002727DA">
        <w:rPr>
          <w:rFonts w:asciiTheme="minorHAnsi" w:hAnsiTheme="minorHAnsi"/>
          <w:b/>
          <w:sz w:val="24"/>
          <w:szCs w:val="24"/>
        </w:rPr>
        <w:t>exact</w:t>
      </w:r>
      <w:r w:rsidRPr="002727DA">
        <w:rPr>
          <w:rFonts w:asciiTheme="minorHAnsi" w:hAnsiTheme="minorHAnsi"/>
          <w:b/>
          <w:sz w:val="24"/>
          <w:szCs w:val="24"/>
        </w:rPr>
        <w:t xml:space="preserve"> number of </w:t>
      </w:r>
      <w:r w:rsidR="00AA2E78" w:rsidRPr="002727DA">
        <w:rPr>
          <w:rFonts w:asciiTheme="minorHAnsi" w:hAnsiTheme="minorHAnsi"/>
          <w:b/>
          <w:sz w:val="24"/>
          <w:szCs w:val="24"/>
        </w:rPr>
        <w:t xml:space="preserve">organizations </w:t>
      </w:r>
      <w:r w:rsidRPr="002727DA">
        <w:rPr>
          <w:rFonts w:asciiTheme="minorHAnsi" w:hAnsiTheme="minorHAnsi"/>
          <w:b/>
          <w:sz w:val="24"/>
          <w:szCs w:val="24"/>
        </w:rPr>
        <w:t xml:space="preserve">who </w:t>
      </w:r>
      <w:r w:rsidR="00AA2E78" w:rsidRPr="002727DA">
        <w:rPr>
          <w:rFonts w:asciiTheme="minorHAnsi" w:hAnsiTheme="minorHAnsi"/>
          <w:b/>
          <w:sz w:val="24"/>
          <w:szCs w:val="24"/>
        </w:rPr>
        <w:t xml:space="preserve">commit </w:t>
      </w:r>
      <w:r w:rsidRPr="002727DA">
        <w:rPr>
          <w:rFonts w:asciiTheme="minorHAnsi" w:hAnsiTheme="minorHAnsi"/>
          <w:b/>
          <w:sz w:val="24"/>
          <w:szCs w:val="24"/>
        </w:rPr>
        <w:t>by their second signature to the establishment of the Tribunal. F</w:t>
      </w:r>
      <w:r w:rsidR="00AA2E78" w:rsidRPr="002727DA">
        <w:rPr>
          <w:rFonts w:asciiTheme="minorHAnsi" w:hAnsiTheme="minorHAnsi"/>
          <w:b/>
          <w:sz w:val="24"/>
          <w:szCs w:val="24"/>
        </w:rPr>
        <w:t>urther scenario analysis can be done in this regard</w:t>
      </w:r>
      <w:r w:rsidRPr="002727DA">
        <w:rPr>
          <w:rFonts w:asciiTheme="minorHAnsi" w:hAnsiTheme="minorHAnsi"/>
          <w:b/>
          <w:sz w:val="24"/>
          <w:szCs w:val="24"/>
        </w:rPr>
        <w:t>.</w:t>
      </w:r>
    </w:p>
    <w:p w:rsidR="00B27961" w:rsidRPr="00BE62B2" w:rsidRDefault="00B27961" w:rsidP="002727DA">
      <w:pPr>
        <w:ind w:left="450" w:hanging="24"/>
        <w:rPr>
          <w:rFonts w:asciiTheme="minorHAnsi" w:hAnsiTheme="minorHAnsi"/>
          <w:b/>
          <w:sz w:val="16"/>
          <w:szCs w:val="24"/>
        </w:rPr>
      </w:pPr>
    </w:p>
    <w:p w:rsidR="00052D70" w:rsidRDefault="00052D70" w:rsidP="00052D70">
      <w:pPr>
        <w:pStyle w:val="ListParagraph"/>
        <w:rPr>
          <w:rFonts w:asciiTheme="minorHAnsi" w:hAnsiTheme="minorHAnsi"/>
          <w:sz w:val="24"/>
          <w:szCs w:val="24"/>
        </w:rPr>
      </w:pPr>
    </w:p>
    <w:p w:rsidR="00052D70" w:rsidRPr="00052D70" w:rsidRDefault="00052D70" w:rsidP="00052D70">
      <w:pPr>
        <w:ind w:firstLine="360"/>
        <w:jc w:val="both"/>
        <w:rPr>
          <w:rFonts w:asciiTheme="minorHAnsi" w:hAnsiTheme="minorHAnsi"/>
          <w:b/>
          <w:sz w:val="28"/>
          <w:szCs w:val="24"/>
        </w:rPr>
      </w:pPr>
      <w:r w:rsidRPr="00052D70">
        <w:rPr>
          <w:rFonts w:asciiTheme="minorHAnsi" w:hAnsiTheme="minorHAnsi"/>
          <w:b/>
          <w:sz w:val="28"/>
          <w:szCs w:val="24"/>
        </w:rPr>
        <w:t>Additional options for funding</w:t>
      </w:r>
    </w:p>
    <w:p w:rsidR="00052D70" w:rsidRPr="00052D70" w:rsidRDefault="00052D70" w:rsidP="00052D70">
      <w:pPr>
        <w:ind w:left="360"/>
        <w:jc w:val="both"/>
        <w:rPr>
          <w:rFonts w:asciiTheme="minorHAnsi" w:hAnsiTheme="minorHAnsi"/>
          <w:sz w:val="24"/>
          <w:szCs w:val="24"/>
        </w:rPr>
      </w:pPr>
      <w:r w:rsidRPr="00052D70">
        <w:rPr>
          <w:rFonts w:asciiTheme="minorHAnsi" w:hAnsiTheme="minorHAnsi"/>
          <w:sz w:val="24"/>
          <w:szCs w:val="24"/>
        </w:rPr>
        <w:t xml:space="preserve">Two additional sources </w:t>
      </w:r>
      <w:r>
        <w:rPr>
          <w:rFonts w:asciiTheme="minorHAnsi" w:hAnsiTheme="minorHAnsi"/>
          <w:sz w:val="24"/>
          <w:szCs w:val="24"/>
        </w:rPr>
        <w:t xml:space="preserve">of funding to be explored </w:t>
      </w:r>
      <w:r w:rsidRPr="00052D70">
        <w:rPr>
          <w:rFonts w:asciiTheme="minorHAnsi" w:hAnsiTheme="minorHAnsi"/>
          <w:sz w:val="24"/>
          <w:szCs w:val="24"/>
        </w:rPr>
        <w:t>with a view, if successful, to reducing the costs to the institutions are -</w:t>
      </w:r>
    </w:p>
    <w:p w:rsidR="00B27961" w:rsidRPr="00B27961" w:rsidRDefault="00B27961" w:rsidP="00BE62B2">
      <w:pPr>
        <w:pStyle w:val="ListParagraph"/>
        <w:numPr>
          <w:ilvl w:val="1"/>
          <w:numId w:val="8"/>
        </w:numPr>
        <w:jc w:val="both"/>
        <w:rPr>
          <w:rFonts w:asciiTheme="minorHAnsi" w:hAnsiTheme="minorHAnsi"/>
          <w:sz w:val="24"/>
          <w:szCs w:val="24"/>
        </w:rPr>
      </w:pPr>
      <w:r w:rsidRPr="00B27961">
        <w:rPr>
          <w:rFonts w:asciiTheme="minorHAnsi" w:hAnsiTheme="minorHAnsi"/>
          <w:sz w:val="24"/>
          <w:szCs w:val="24"/>
        </w:rPr>
        <w:t>Grant Funding</w:t>
      </w:r>
      <w:r>
        <w:rPr>
          <w:rFonts w:asciiTheme="minorHAnsi" w:hAnsiTheme="minorHAnsi"/>
          <w:sz w:val="24"/>
          <w:szCs w:val="24"/>
        </w:rPr>
        <w:t xml:space="preserve"> to allow for the build-up of a pool of resources to accommodate the </w:t>
      </w:r>
      <w:r w:rsidR="00BE62B2">
        <w:rPr>
          <w:rFonts w:asciiTheme="minorHAnsi" w:hAnsiTheme="minorHAnsi"/>
          <w:sz w:val="24"/>
          <w:szCs w:val="24"/>
        </w:rPr>
        <w:t>cost to support infrastructure and strengthening establishment of the institution</w:t>
      </w:r>
      <w:r>
        <w:rPr>
          <w:rFonts w:asciiTheme="minorHAnsi" w:hAnsiTheme="minorHAnsi"/>
          <w:sz w:val="24"/>
          <w:szCs w:val="24"/>
        </w:rPr>
        <w:t xml:space="preserve">. Institutions to still pay basis costs identified at Pool 1. </w:t>
      </w:r>
      <w:r w:rsidR="00BE62B2">
        <w:rPr>
          <w:rFonts w:asciiTheme="minorHAnsi" w:hAnsiTheme="minorHAnsi"/>
          <w:sz w:val="24"/>
          <w:szCs w:val="24"/>
        </w:rPr>
        <w:t>[JURIST/ EDF]</w:t>
      </w:r>
    </w:p>
    <w:p w:rsidR="00B27961" w:rsidRDefault="00B27961" w:rsidP="00B27961">
      <w:pPr>
        <w:pStyle w:val="ListParagraph"/>
        <w:numPr>
          <w:ilvl w:val="1"/>
          <w:numId w:val="8"/>
        </w:numPr>
        <w:rPr>
          <w:rFonts w:asciiTheme="minorHAnsi" w:hAnsiTheme="minorHAnsi"/>
          <w:sz w:val="24"/>
          <w:szCs w:val="24"/>
        </w:rPr>
      </w:pPr>
      <w:r w:rsidRPr="00B27961">
        <w:rPr>
          <w:rFonts w:asciiTheme="minorHAnsi" w:hAnsiTheme="minorHAnsi"/>
          <w:sz w:val="24"/>
          <w:szCs w:val="24"/>
        </w:rPr>
        <w:t>Fee</w:t>
      </w:r>
      <w:r w:rsidR="00CD0650">
        <w:rPr>
          <w:rFonts w:asciiTheme="minorHAnsi" w:hAnsiTheme="minorHAnsi"/>
          <w:sz w:val="24"/>
          <w:szCs w:val="24"/>
        </w:rPr>
        <w:t>s</w:t>
      </w:r>
      <w:r w:rsidRPr="00B27961">
        <w:rPr>
          <w:rFonts w:asciiTheme="minorHAnsi" w:hAnsiTheme="minorHAnsi"/>
          <w:sz w:val="24"/>
          <w:szCs w:val="24"/>
        </w:rPr>
        <w:t xml:space="preserve"> per application. Here the recommendation is as follows </w:t>
      </w:r>
      <w:r>
        <w:rPr>
          <w:rFonts w:asciiTheme="minorHAnsi" w:hAnsiTheme="minorHAnsi"/>
          <w:sz w:val="24"/>
          <w:szCs w:val="24"/>
        </w:rPr>
        <w:t>–</w:t>
      </w:r>
      <w:r w:rsidRPr="00B27961">
        <w:rPr>
          <w:rFonts w:asciiTheme="minorHAnsi" w:hAnsiTheme="minorHAnsi"/>
          <w:sz w:val="24"/>
          <w:szCs w:val="24"/>
        </w:rPr>
        <w:t xml:space="preserve"> </w:t>
      </w:r>
    </w:p>
    <w:p w:rsidR="00B27961" w:rsidRDefault="00CD0650" w:rsidP="00CD0650">
      <w:pPr>
        <w:pStyle w:val="ListParagraph"/>
        <w:numPr>
          <w:ilvl w:val="2"/>
          <w:numId w:val="8"/>
        </w:numPr>
        <w:rPr>
          <w:rFonts w:asciiTheme="minorHAnsi" w:hAnsiTheme="minorHAnsi"/>
          <w:sz w:val="24"/>
          <w:szCs w:val="24"/>
        </w:rPr>
      </w:pPr>
      <w:r>
        <w:rPr>
          <w:rFonts w:asciiTheme="minorHAnsi" w:hAnsiTheme="minorHAnsi"/>
          <w:sz w:val="24"/>
          <w:szCs w:val="24"/>
        </w:rPr>
        <w:t xml:space="preserve">Filing fees for use of Tribunal. This will depend on type of matter, </w:t>
      </w:r>
      <w:proofErr w:type="spellStart"/>
      <w:r>
        <w:rPr>
          <w:rFonts w:asciiTheme="minorHAnsi" w:hAnsiTheme="minorHAnsi"/>
          <w:sz w:val="24"/>
          <w:szCs w:val="24"/>
        </w:rPr>
        <w:t>eg</w:t>
      </w:r>
      <w:proofErr w:type="spellEnd"/>
      <w:r>
        <w:rPr>
          <w:rFonts w:asciiTheme="minorHAnsi" w:hAnsiTheme="minorHAnsi"/>
          <w:sz w:val="24"/>
          <w:szCs w:val="24"/>
        </w:rPr>
        <w:t>.</w:t>
      </w:r>
    </w:p>
    <w:tbl>
      <w:tblPr>
        <w:tblStyle w:val="TableGrid"/>
        <w:tblW w:w="0" w:type="auto"/>
        <w:tblInd w:w="2880" w:type="dxa"/>
        <w:tblLook w:val="04A0" w:firstRow="1" w:lastRow="0" w:firstColumn="1" w:lastColumn="0" w:noHBand="0" w:noVBand="1"/>
      </w:tblPr>
      <w:tblGrid>
        <w:gridCol w:w="1793"/>
        <w:gridCol w:w="4677"/>
      </w:tblGrid>
      <w:tr w:rsidR="00CD0650" w:rsidTr="00D85CF1">
        <w:tc>
          <w:tcPr>
            <w:tcW w:w="1793" w:type="dxa"/>
          </w:tcPr>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Type 1 Claims</w:t>
            </w:r>
          </w:p>
        </w:tc>
        <w:tc>
          <w:tcPr>
            <w:tcW w:w="4677" w:type="dxa"/>
          </w:tcPr>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Unpaid Wages</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redundancy pay</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holiday pay</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notice pay</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equal pay</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lastRenderedPageBreak/>
              <w:t>- years of service pay</w:t>
            </w:r>
          </w:p>
        </w:tc>
      </w:tr>
      <w:tr w:rsidR="00CD0650" w:rsidTr="00D053B1">
        <w:trPr>
          <w:trHeight w:val="1243"/>
        </w:trPr>
        <w:tc>
          <w:tcPr>
            <w:tcW w:w="1793" w:type="dxa"/>
          </w:tcPr>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lastRenderedPageBreak/>
              <w:t>Type 2 Claims</w:t>
            </w:r>
          </w:p>
        </w:tc>
        <w:tc>
          <w:tcPr>
            <w:tcW w:w="4677" w:type="dxa"/>
          </w:tcPr>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unfair dismissal</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discrimination</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whistleblowing</w:t>
            </w:r>
          </w:p>
          <w:p w:rsidR="00CD0650" w:rsidRDefault="00CD0650" w:rsidP="00CD0650">
            <w:pPr>
              <w:pStyle w:val="ListParagraph"/>
              <w:ind w:left="0"/>
              <w:rPr>
                <w:rFonts w:asciiTheme="minorHAnsi" w:hAnsiTheme="minorHAnsi"/>
                <w:sz w:val="24"/>
                <w:szCs w:val="24"/>
              </w:rPr>
            </w:pPr>
            <w:r>
              <w:rPr>
                <w:rFonts w:asciiTheme="minorHAnsi" w:hAnsiTheme="minorHAnsi"/>
                <w:sz w:val="24"/>
                <w:szCs w:val="24"/>
              </w:rPr>
              <w:t>- equal pay</w:t>
            </w:r>
          </w:p>
        </w:tc>
      </w:tr>
    </w:tbl>
    <w:p w:rsidR="00CD0650" w:rsidRDefault="00CD0650" w:rsidP="00CD0650">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rsidR="00CD0650" w:rsidRDefault="00CD0650" w:rsidP="00CD0650">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For each claim, there could be two sets of fees to pay – </w:t>
      </w:r>
    </w:p>
    <w:p w:rsidR="00CD0650" w:rsidRDefault="00CD0650" w:rsidP="00CD0650">
      <w:pPr>
        <w:pStyle w:val="ListParagraph"/>
        <w:numPr>
          <w:ilvl w:val="0"/>
          <w:numId w:val="16"/>
        </w:numPr>
        <w:rPr>
          <w:rFonts w:asciiTheme="minorHAnsi" w:hAnsiTheme="minorHAnsi"/>
          <w:sz w:val="24"/>
          <w:szCs w:val="24"/>
        </w:rPr>
      </w:pPr>
      <w:r>
        <w:rPr>
          <w:rFonts w:asciiTheme="minorHAnsi" w:hAnsiTheme="minorHAnsi"/>
          <w:sz w:val="24"/>
          <w:szCs w:val="24"/>
        </w:rPr>
        <w:t>A filing fee</w:t>
      </w:r>
    </w:p>
    <w:p w:rsidR="00CD0650" w:rsidRDefault="00CD0650" w:rsidP="00CD0650">
      <w:pPr>
        <w:pStyle w:val="ListParagraph"/>
        <w:numPr>
          <w:ilvl w:val="0"/>
          <w:numId w:val="16"/>
        </w:numPr>
        <w:rPr>
          <w:rFonts w:asciiTheme="minorHAnsi" w:hAnsiTheme="minorHAnsi"/>
          <w:sz w:val="24"/>
          <w:szCs w:val="24"/>
        </w:rPr>
      </w:pPr>
      <w:r>
        <w:rPr>
          <w:rFonts w:asciiTheme="minorHAnsi" w:hAnsiTheme="minorHAnsi"/>
          <w:sz w:val="24"/>
          <w:szCs w:val="24"/>
        </w:rPr>
        <w:t>A hearing fee</w:t>
      </w:r>
    </w:p>
    <w:p w:rsidR="00CD0650" w:rsidRDefault="00CD0650" w:rsidP="00DB204C">
      <w:pPr>
        <w:pStyle w:val="ListParagraph"/>
        <w:ind w:left="2520"/>
        <w:jc w:val="both"/>
        <w:rPr>
          <w:rFonts w:asciiTheme="minorHAnsi" w:hAnsiTheme="minorHAnsi"/>
          <w:sz w:val="24"/>
          <w:szCs w:val="24"/>
        </w:rPr>
      </w:pPr>
      <w:r>
        <w:rPr>
          <w:rFonts w:asciiTheme="minorHAnsi" w:hAnsiTheme="minorHAnsi"/>
          <w:sz w:val="24"/>
          <w:szCs w:val="24"/>
        </w:rPr>
        <w:t xml:space="preserve">Before hearing, the claimant will be required to pay the fees. Low income earners, </w:t>
      </w:r>
      <w:proofErr w:type="spellStart"/>
      <w:r>
        <w:rPr>
          <w:rFonts w:asciiTheme="minorHAnsi" w:hAnsiTheme="minorHAnsi"/>
          <w:sz w:val="24"/>
          <w:szCs w:val="24"/>
        </w:rPr>
        <w:t>eg</w:t>
      </w:r>
      <w:proofErr w:type="spellEnd"/>
      <w:r>
        <w:rPr>
          <w:rFonts w:asciiTheme="minorHAnsi" w:hAnsiTheme="minorHAnsi"/>
          <w:sz w:val="24"/>
          <w:szCs w:val="24"/>
        </w:rPr>
        <w:t>. Persons with salaries less than say USD1,</w:t>
      </w:r>
      <w:r w:rsidR="00AA4859">
        <w:rPr>
          <w:rFonts w:asciiTheme="minorHAnsi" w:hAnsiTheme="minorHAnsi"/>
          <w:sz w:val="24"/>
          <w:szCs w:val="24"/>
        </w:rPr>
        <w:t>0</w:t>
      </w:r>
      <w:r>
        <w:rPr>
          <w:rFonts w:asciiTheme="minorHAnsi" w:hAnsiTheme="minorHAnsi"/>
          <w:sz w:val="24"/>
          <w:szCs w:val="24"/>
        </w:rPr>
        <w:t>00.00 monthly can make an application for full or partial waiver.</w:t>
      </w:r>
    </w:p>
    <w:p w:rsidR="00CD0650" w:rsidRPr="00CD0650" w:rsidRDefault="00CD0650" w:rsidP="00CD0650">
      <w:pPr>
        <w:pStyle w:val="ListParagraph"/>
        <w:ind w:left="2520"/>
        <w:rPr>
          <w:rFonts w:asciiTheme="minorHAnsi" w:hAnsiTheme="minorHAnsi"/>
          <w:sz w:val="24"/>
          <w:szCs w:val="24"/>
        </w:rPr>
      </w:pPr>
    </w:p>
    <w:sectPr w:rsidR="00CD0650" w:rsidRPr="00CD0650" w:rsidSect="00CD0650">
      <w:pgSz w:w="12240" w:h="15840" w:code="1"/>
      <w:pgMar w:top="629" w:right="1440" w:bottom="794" w:left="1440" w:header="62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E0" w:rsidRDefault="00AA5EE0" w:rsidP="005617A1">
      <w:r>
        <w:separator/>
      </w:r>
    </w:p>
  </w:endnote>
  <w:endnote w:type="continuationSeparator" w:id="0">
    <w:p w:rsidR="00AA5EE0" w:rsidRDefault="00AA5EE0" w:rsidP="0056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E0" w:rsidRDefault="00AA5EE0" w:rsidP="005617A1">
      <w:r>
        <w:separator/>
      </w:r>
    </w:p>
  </w:footnote>
  <w:footnote w:type="continuationSeparator" w:id="0">
    <w:p w:rsidR="00AA5EE0" w:rsidRDefault="00AA5EE0" w:rsidP="005617A1">
      <w:r>
        <w:continuationSeparator/>
      </w:r>
    </w:p>
  </w:footnote>
  <w:footnote w:id="1">
    <w:p w:rsidR="00753C00" w:rsidRPr="002727DA" w:rsidRDefault="00753C00" w:rsidP="00753C00">
      <w:pPr>
        <w:pStyle w:val="FootnoteText"/>
        <w:rPr>
          <w:b/>
          <w:sz w:val="24"/>
          <w:szCs w:val="24"/>
        </w:rPr>
      </w:pPr>
      <w:r>
        <w:rPr>
          <w:rStyle w:val="FootnoteReference"/>
        </w:rPr>
        <w:footnoteRef/>
      </w:r>
      <w:r>
        <w:t xml:space="preserve"> </w:t>
      </w:r>
      <w:r w:rsidRPr="00985DD0">
        <w:rPr>
          <w:b/>
          <w:sz w:val="24"/>
          <w:szCs w:val="24"/>
        </w:rPr>
        <w:t>Doreen Johnson v CARICAD</w:t>
      </w:r>
      <w:r>
        <w:rPr>
          <w:b/>
          <w:sz w:val="24"/>
          <w:szCs w:val="24"/>
        </w:rPr>
        <w:t xml:space="preserve"> [2009] CCJ 3 (OJ)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57A"/>
    <w:multiLevelType w:val="hybridMultilevel"/>
    <w:tmpl w:val="9D0A0E54"/>
    <w:lvl w:ilvl="0" w:tplc="F8206DEE">
      <w:start w:val="1"/>
      <w:numFmt w:val="lowerLetter"/>
      <w:lvlText w:val="%1."/>
      <w:lvlJc w:val="left"/>
      <w:pPr>
        <w:ind w:left="2520" w:hanging="360"/>
      </w:pPr>
      <w:rPr>
        <w:rFonts w:hint="default"/>
      </w:rPr>
    </w:lvl>
    <w:lvl w:ilvl="1" w:tplc="2C090019" w:tentative="1">
      <w:start w:val="1"/>
      <w:numFmt w:val="lowerLetter"/>
      <w:lvlText w:val="%2."/>
      <w:lvlJc w:val="left"/>
      <w:pPr>
        <w:ind w:left="3240" w:hanging="360"/>
      </w:pPr>
    </w:lvl>
    <w:lvl w:ilvl="2" w:tplc="2C09001B" w:tentative="1">
      <w:start w:val="1"/>
      <w:numFmt w:val="lowerRoman"/>
      <w:lvlText w:val="%3."/>
      <w:lvlJc w:val="right"/>
      <w:pPr>
        <w:ind w:left="3960" w:hanging="180"/>
      </w:pPr>
    </w:lvl>
    <w:lvl w:ilvl="3" w:tplc="2C09000F" w:tentative="1">
      <w:start w:val="1"/>
      <w:numFmt w:val="decimal"/>
      <w:lvlText w:val="%4."/>
      <w:lvlJc w:val="left"/>
      <w:pPr>
        <w:ind w:left="4680" w:hanging="360"/>
      </w:pPr>
    </w:lvl>
    <w:lvl w:ilvl="4" w:tplc="2C090019" w:tentative="1">
      <w:start w:val="1"/>
      <w:numFmt w:val="lowerLetter"/>
      <w:lvlText w:val="%5."/>
      <w:lvlJc w:val="left"/>
      <w:pPr>
        <w:ind w:left="5400" w:hanging="360"/>
      </w:pPr>
    </w:lvl>
    <w:lvl w:ilvl="5" w:tplc="2C09001B" w:tentative="1">
      <w:start w:val="1"/>
      <w:numFmt w:val="lowerRoman"/>
      <w:lvlText w:val="%6."/>
      <w:lvlJc w:val="right"/>
      <w:pPr>
        <w:ind w:left="6120" w:hanging="180"/>
      </w:pPr>
    </w:lvl>
    <w:lvl w:ilvl="6" w:tplc="2C09000F" w:tentative="1">
      <w:start w:val="1"/>
      <w:numFmt w:val="decimal"/>
      <w:lvlText w:val="%7."/>
      <w:lvlJc w:val="left"/>
      <w:pPr>
        <w:ind w:left="6840" w:hanging="360"/>
      </w:pPr>
    </w:lvl>
    <w:lvl w:ilvl="7" w:tplc="2C090019" w:tentative="1">
      <w:start w:val="1"/>
      <w:numFmt w:val="lowerLetter"/>
      <w:lvlText w:val="%8."/>
      <w:lvlJc w:val="left"/>
      <w:pPr>
        <w:ind w:left="7560" w:hanging="360"/>
      </w:pPr>
    </w:lvl>
    <w:lvl w:ilvl="8" w:tplc="2C09001B" w:tentative="1">
      <w:start w:val="1"/>
      <w:numFmt w:val="lowerRoman"/>
      <w:lvlText w:val="%9."/>
      <w:lvlJc w:val="right"/>
      <w:pPr>
        <w:ind w:left="8280" w:hanging="180"/>
      </w:pPr>
    </w:lvl>
  </w:abstractNum>
  <w:abstractNum w:abstractNumId="1" w15:restartNumberingAfterBreak="0">
    <w:nsid w:val="0B7C43F8"/>
    <w:multiLevelType w:val="hybridMultilevel"/>
    <w:tmpl w:val="6A744986"/>
    <w:lvl w:ilvl="0" w:tplc="24090001">
      <w:start w:val="1"/>
      <w:numFmt w:val="bullet"/>
      <w:lvlText w:val=""/>
      <w:lvlJc w:val="left"/>
      <w:pPr>
        <w:ind w:left="1440" w:hanging="360"/>
      </w:pPr>
      <w:rPr>
        <w:rFonts w:ascii="Symbol" w:hAnsi="Symbol" w:hint="default"/>
      </w:rPr>
    </w:lvl>
    <w:lvl w:ilvl="1" w:tplc="24090003">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15:restartNumberingAfterBreak="0">
    <w:nsid w:val="0DDF654E"/>
    <w:multiLevelType w:val="hybridMultilevel"/>
    <w:tmpl w:val="B5F4D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5F5D93"/>
    <w:multiLevelType w:val="multilevel"/>
    <w:tmpl w:val="1226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753E0"/>
    <w:multiLevelType w:val="hybridMultilevel"/>
    <w:tmpl w:val="219CD5A2"/>
    <w:lvl w:ilvl="0" w:tplc="63E6E34A">
      <w:start w:val="1"/>
      <w:numFmt w:val="decimal"/>
      <w:lvlText w:val="%1."/>
      <w:lvlJc w:val="left"/>
      <w:pPr>
        <w:ind w:left="720" w:hanging="360"/>
      </w:pPr>
      <w:rPr>
        <w:b w:val="0"/>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5" w15:restartNumberingAfterBreak="0">
    <w:nsid w:val="24521A59"/>
    <w:multiLevelType w:val="hybridMultilevel"/>
    <w:tmpl w:val="EA2A07FA"/>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6" w15:restartNumberingAfterBreak="0">
    <w:nsid w:val="31500462"/>
    <w:multiLevelType w:val="hybridMultilevel"/>
    <w:tmpl w:val="0C42AABE"/>
    <w:lvl w:ilvl="0" w:tplc="EA266CC6">
      <w:start w:val="1"/>
      <w:numFmt w:val="lowerLetter"/>
      <w:lvlText w:val="%1."/>
      <w:lvlJc w:val="left"/>
      <w:pPr>
        <w:ind w:left="1668" w:hanging="360"/>
      </w:pPr>
      <w:rPr>
        <w:rFonts w:hint="default"/>
        <w:b w:val="0"/>
      </w:rPr>
    </w:lvl>
    <w:lvl w:ilvl="1" w:tplc="24090003" w:tentative="1">
      <w:start w:val="1"/>
      <w:numFmt w:val="bullet"/>
      <w:lvlText w:val="o"/>
      <w:lvlJc w:val="left"/>
      <w:pPr>
        <w:ind w:left="2388" w:hanging="360"/>
      </w:pPr>
      <w:rPr>
        <w:rFonts w:ascii="Courier New" w:hAnsi="Courier New" w:cs="Courier New" w:hint="default"/>
      </w:rPr>
    </w:lvl>
    <w:lvl w:ilvl="2" w:tplc="24090005" w:tentative="1">
      <w:start w:val="1"/>
      <w:numFmt w:val="bullet"/>
      <w:lvlText w:val=""/>
      <w:lvlJc w:val="left"/>
      <w:pPr>
        <w:ind w:left="3108" w:hanging="360"/>
      </w:pPr>
      <w:rPr>
        <w:rFonts w:ascii="Wingdings" w:hAnsi="Wingdings" w:hint="default"/>
      </w:rPr>
    </w:lvl>
    <w:lvl w:ilvl="3" w:tplc="24090001" w:tentative="1">
      <w:start w:val="1"/>
      <w:numFmt w:val="bullet"/>
      <w:lvlText w:val=""/>
      <w:lvlJc w:val="left"/>
      <w:pPr>
        <w:ind w:left="3828" w:hanging="360"/>
      </w:pPr>
      <w:rPr>
        <w:rFonts w:ascii="Symbol" w:hAnsi="Symbol" w:hint="default"/>
      </w:rPr>
    </w:lvl>
    <w:lvl w:ilvl="4" w:tplc="24090003" w:tentative="1">
      <w:start w:val="1"/>
      <w:numFmt w:val="bullet"/>
      <w:lvlText w:val="o"/>
      <w:lvlJc w:val="left"/>
      <w:pPr>
        <w:ind w:left="4548" w:hanging="360"/>
      </w:pPr>
      <w:rPr>
        <w:rFonts w:ascii="Courier New" w:hAnsi="Courier New" w:cs="Courier New" w:hint="default"/>
      </w:rPr>
    </w:lvl>
    <w:lvl w:ilvl="5" w:tplc="24090005" w:tentative="1">
      <w:start w:val="1"/>
      <w:numFmt w:val="bullet"/>
      <w:lvlText w:val=""/>
      <w:lvlJc w:val="left"/>
      <w:pPr>
        <w:ind w:left="5268" w:hanging="360"/>
      </w:pPr>
      <w:rPr>
        <w:rFonts w:ascii="Wingdings" w:hAnsi="Wingdings" w:hint="default"/>
      </w:rPr>
    </w:lvl>
    <w:lvl w:ilvl="6" w:tplc="24090001" w:tentative="1">
      <w:start w:val="1"/>
      <w:numFmt w:val="bullet"/>
      <w:lvlText w:val=""/>
      <w:lvlJc w:val="left"/>
      <w:pPr>
        <w:ind w:left="5988" w:hanging="360"/>
      </w:pPr>
      <w:rPr>
        <w:rFonts w:ascii="Symbol" w:hAnsi="Symbol" w:hint="default"/>
      </w:rPr>
    </w:lvl>
    <w:lvl w:ilvl="7" w:tplc="24090003" w:tentative="1">
      <w:start w:val="1"/>
      <w:numFmt w:val="bullet"/>
      <w:lvlText w:val="o"/>
      <w:lvlJc w:val="left"/>
      <w:pPr>
        <w:ind w:left="6708" w:hanging="360"/>
      </w:pPr>
      <w:rPr>
        <w:rFonts w:ascii="Courier New" w:hAnsi="Courier New" w:cs="Courier New" w:hint="default"/>
      </w:rPr>
    </w:lvl>
    <w:lvl w:ilvl="8" w:tplc="24090005" w:tentative="1">
      <w:start w:val="1"/>
      <w:numFmt w:val="bullet"/>
      <w:lvlText w:val=""/>
      <w:lvlJc w:val="left"/>
      <w:pPr>
        <w:ind w:left="7428" w:hanging="360"/>
      </w:pPr>
      <w:rPr>
        <w:rFonts w:ascii="Wingdings" w:hAnsi="Wingdings" w:hint="default"/>
      </w:rPr>
    </w:lvl>
  </w:abstractNum>
  <w:abstractNum w:abstractNumId="7" w15:restartNumberingAfterBreak="0">
    <w:nsid w:val="38D75686"/>
    <w:multiLevelType w:val="multilevel"/>
    <w:tmpl w:val="3F2E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32FC7"/>
    <w:multiLevelType w:val="hybridMultilevel"/>
    <w:tmpl w:val="8C32CF7A"/>
    <w:lvl w:ilvl="0" w:tplc="2409000F">
      <w:start w:val="1"/>
      <w:numFmt w:val="decimal"/>
      <w:lvlText w:val="%1."/>
      <w:lvlJc w:val="left"/>
      <w:pPr>
        <w:ind w:left="720" w:hanging="360"/>
      </w:pPr>
    </w:lvl>
    <w:lvl w:ilvl="1" w:tplc="24090001">
      <w:start w:val="1"/>
      <w:numFmt w:val="bullet"/>
      <w:lvlText w:val=""/>
      <w:lvlJc w:val="left"/>
      <w:pPr>
        <w:ind w:left="1440" w:hanging="360"/>
      </w:pPr>
      <w:rPr>
        <w:rFonts w:ascii="Symbol" w:hAnsi="Symbol" w:hint="default"/>
      </w:rPr>
    </w:lvl>
    <w:lvl w:ilvl="2" w:tplc="24090003">
      <w:start w:val="1"/>
      <w:numFmt w:val="bullet"/>
      <w:lvlText w:val="o"/>
      <w:lvlJc w:val="left"/>
      <w:pPr>
        <w:ind w:left="2160" w:hanging="180"/>
      </w:pPr>
      <w:rPr>
        <w:rFonts w:ascii="Courier New" w:hAnsi="Courier New" w:cs="Courier New" w:hint="default"/>
      </w:r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15:restartNumberingAfterBreak="0">
    <w:nsid w:val="4B8B4580"/>
    <w:multiLevelType w:val="multilevel"/>
    <w:tmpl w:val="DFD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92855"/>
    <w:multiLevelType w:val="hybridMultilevel"/>
    <w:tmpl w:val="9F3414F8"/>
    <w:lvl w:ilvl="0" w:tplc="C70A6B2C">
      <w:start w:val="2"/>
      <w:numFmt w:val="decimal"/>
      <w:lvlText w:val="%1."/>
      <w:lvlJc w:val="left"/>
      <w:pPr>
        <w:ind w:left="720" w:hanging="360"/>
      </w:pPr>
      <w:rPr>
        <w:rFonts w:hint="default"/>
        <w:b w:val="0"/>
      </w:rPr>
    </w:lvl>
    <w:lvl w:ilvl="1" w:tplc="24090019">
      <w:start w:val="1"/>
      <w:numFmt w:val="lowerLetter"/>
      <w:lvlText w:val="%2."/>
      <w:lvlJc w:val="left"/>
      <w:pPr>
        <w:ind w:left="1440" w:hanging="360"/>
      </w:pPr>
      <w:rPr>
        <w:rFonts w:hint="default"/>
      </w:r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15:restartNumberingAfterBreak="0">
    <w:nsid w:val="5C3B1A64"/>
    <w:multiLevelType w:val="hybridMultilevel"/>
    <w:tmpl w:val="6EFE5FAE"/>
    <w:lvl w:ilvl="0" w:tplc="2409000F">
      <w:start w:val="1"/>
      <w:numFmt w:val="decimal"/>
      <w:lvlText w:val="%1."/>
      <w:lvlJc w:val="left"/>
      <w:pPr>
        <w:ind w:left="360" w:hanging="360"/>
      </w:pPr>
    </w:lvl>
    <w:lvl w:ilvl="1" w:tplc="2C090019">
      <w:start w:val="1"/>
      <w:numFmt w:val="lowerLetter"/>
      <w:lvlText w:val="%2."/>
      <w:lvlJc w:val="left"/>
      <w:pPr>
        <w:ind w:left="1800" w:hanging="360"/>
      </w:pPr>
    </w:lvl>
    <w:lvl w:ilvl="2" w:tplc="2C09001B">
      <w:start w:val="1"/>
      <w:numFmt w:val="lowerRoman"/>
      <w:lvlText w:val="%3."/>
      <w:lvlJc w:val="right"/>
      <w:pPr>
        <w:ind w:left="2520" w:hanging="180"/>
      </w:pPr>
    </w:lvl>
    <w:lvl w:ilvl="3" w:tplc="23E0BEE8">
      <w:start w:val="1"/>
      <w:numFmt w:val="decimal"/>
      <w:lvlText w:val="%4."/>
      <w:lvlJc w:val="left"/>
      <w:pPr>
        <w:ind w:left="3240" w:hanging="360"/>
      </w:pPr>
      <w:rPr>
        <w:b w:val="0"/>
      </w:rPr>
    </w:lvl>
    <w:lvl w:ilvl="4" w:tplc="2C090019">
      <w:start w:val="1"/>
      <w:numFmt w:val="lowerLetter"/>
      <w:lvlText w:val="%5."/>
      <w:lvlJc w:val="left"/>
      <w:pPr>
        <w:ind w:left="3960" w:hanging="360"/>
      </w:pPr>
    </w:lvl>
    <w:lvl w:ilvl="5" w:tplc="2C09001B">
      <w:start w:val="1"/>
      <w:numFmt w:val="lowerRoman"/>
      <w:lvlText w:val="%6."/>
      <w:lvlJc w:val="right"/>
      <w:pPr>
        <w:ind w:left="4680" w:hanging="180"/>
      </w:pPr>
    </w:lvl>
    <w:lvl w:ilvl="6" w:tplc="2C09000F">
      <w:start w:val="1"/>
      <w:numFmt w:val="decimal"/>
      <w:lvlText w:val="%7."/>
      <w:lvlJc w:val="left"/>
      <w:pPr>
        <w:ind w:left="5400" w:hanging="360"/>
      </w:pPr>
    </w:lvl>
    <w:lvl w:ilvl="7" w:tplc="2C090019">
      <w:start w:val="1"/>
      <w:numFmt w:val="lowerLetter"/>
      <w:lvlText w:val="%8."/>
      <w:lvlJc w:val="left"/>
      <w:pPr>
        <w:ind w:left="6120" w:hanging="360"/>
      </w:pPr>
    </w:lvl>
    <w:lvl w:ilvl="8" w:tplc="2C09001B">
      <w:start w:val="1"/>
      <w:numFmt w:val="lowerRoman"/>
      <w:lvlText w:val="%9."/>
      <w:lvlJc w:val="right"/>
      <w:pPr>
        <w:ind w:left="6840" w:hanging="180"/>
      </w:pPr>
    </w:lvl>
  </w:abstractNum>
  <w:abstractNum w:abstractNumId="12" w15:restartNumberingAfterBreak="0">
    <w:nsid w:val="69DA2F64"/>
    <w:multiLevelType w:val="hybridMultilevel"/>
    <w:tmpl w:val="B0C4FC92"/>
    <w:lvl w:ilvl="0" w:tplc="2C090019">
      <w:start w:val="1"/>
      <w:numFmt w:val="lowerLetter"/>
      <w:lvlText w:val="%1."/>
      <w:lvlJc w:val="left"/>
      <w:pPr>
        <w:ind w:left="720" w:hanging="360"/>
      </w:pPr>
      <w:rPr>
        <w:rFonts w:hint="default"/>
        <w:b w:val="0"/>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79230465"/>
    <w:multiLevelType w:val="hybridMultilevel"/>
    <w:tmpl w:val="725A8382"/>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3"/>
  </w:num>
  <w:num w:numId="10">
    <w:abstractNumId w:val="11"/>
  </w:num>
  <w:num w:numId="11">
    <w:abstractNumId w:val="5"/>
  </w:num>
  <w:num w:numId="12">
    <w:abstractNumId w:val="9"/>
  </w:num>
  <w:num w:numId="13">
    <w:abstractNumId w:val="3"/>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30"/>
    <w:rsid w:val="00031E71"/>
    <w:rsid w:val="00041AB9"/>
    <w:rsid w:val="00042897"/>
    <w:rsid w:val="00052D70"/>
    <w:rsid w:val="00054187"/>
    <w:rsid w:val="000A36B2"/>
    <w:rsid w:val="000D08CF"/>
    <w:rsid w:val="00105653"/>
    <w:rsid w:val="00112C4F"/>
    <w:rsid w:val="00115B44"/>
    <w:rsid w:val="00127A60"/>
    <w:rsid w:val="00137929"/>
    <w:rsid w:val="001401D2"/>
    <w:rsid w:val="001414D7"/>
    <w:rsid w:val="00164841"/>
    <w:rsid w:val="00184DDE"/>
    <w:rsid w:val="00185385"/>
    <w:rsid w:val="001B059C"/>
    <w:rsid w:val="001B6E30"/>
    <w:rsid w:val="001C29B9"/>
    <w:rsid w:val="002351A7"/>
    <w:rsid w:val="002358FF"/>
    <w:rsid w:val="002727DA"/>
    <w:rsid w:val="00294D0B"/>
    <w:rsid w:val="002F1D67"/>
    <w:rsid w:val="003115C4"/>
    <w:rsid w:val="00320FEC"/>
    <w:rsid w:val="003371BB"/>
    <w:rsid w:val="0034424E"/>
    <w:rsid w:val="00383A4F"/>
    <w:rsid w:val="003B753E"/>
    <w:rsid w:val="003C5129"/>
    <w:rsid w:val="003D1958"/>
    <w:rsid w:val="003D1AC2"/>
    <w:rsid w:val="003E7204"/>
    <w:rsid w:val="00411334"/>
    <w:rsid w:val="00413BA0"/>
    <w:rsid w:val="00417343"/>
    <w:rsid w:val="00421179"/>
    <w:rsid w:val="004310EE"/>
    <w:rsid w:val="004359E5"/>
    <w:rsid w:val="004376A2"/>
    <w:rsid w:val="00437B4D"/>
    <w:rsid w:val="00441A1B"/>
    <w:rsid w:val="00463645"/>
    <w:rsid w:val="00481C0A"/>
    <w:rsid w:val="004A20F3"/>
    <w:rsid w:val="004A7484"/>
    <w:rsid w:val="004D6637"/>
    <w:rsid w:val="004F03CE"/>
    <w:rsid w:val="00505E5F"/>
    <w:rsid w:val="00514F74"/>
    <w:rsid w:val="005617A1"/>
    <w:rsid w:val="00577688"/>
    <w:rsid w:val="00586436"/>
    <w:rsid w:val="00591233"/>
    <w:rsid w:val="005A55B0"/>
    <w:rsid w:val="005A6A62"/>
    <w:rsid w:val="005C6E66"/>
    <w:rsid w:val="005D214F"/>
    <w:rsid w:val="005E5577"/>
    <w:rsid w:val="0061711B"/>
    <w:rsid w:val="0063255D"/>
    <w:rsid w:val="006475C9"/>
    <w:rsid w:val="00667086"/>
    <w:rsid w:val="0069272E"/>
    <w:rsid w:val="006A1C83"/>
    <w:rsid w:val="00734559"/>
    <w:rsid w:val="00742836"/>
    <w:rsid w:val="00752426"/>
    <w:rsid w:val="00753501"/>
    <w:rsid w:val="00753C00"/>
    <w:rsid w:val="007769E9"/>
    <w:rsid w:val="00792AA3"/>
    <w:rsid w:val="007D6A71"/>
    <w:rsid w:val="007F26D7"/>
    <w:rsid w:val="00814714"/>
    <w:rsid w:val="008431AB"/>
    <w:rsid w:val="008739EF"/>
    <w:rsid w:val="008A5F4D"/>
    <w:rsid w:val="008C6E49"/>
    <w:rsid w:val="008D37B6"/>
    <w:rsid w:val="009118BF"/>
    <w:rsid w:val="00951991"/>
    <w:rsid w:val="009730B4"/>
    <w:rsid w:val="00992828"/>
    <w:rsid w:val="00994A53"/>
    <w:rsid w:val="009C02C9"/>
    <w:rsid w:val="009F0AEC"/>
    <w:rsid w:val="00A569AA"/>
    <w:rsid w:val="00A96987"/>
    <w:rsid w:val="00AA2E78"/>
    <w:rsid w:val="00AA4859"/>
    <w:rsid w:val="00AA5EE0"/>
    <w:rsid w:val="00AB1849"/>
    <w:rsid w:val="00AC4133"/>
    <w:rsid w:val="00AD1031"/>
    <w:rsid w:val="00B27961"/>
    <w:rsid w:val="00B420CD"/>
    <w:rsid w:val="00B731D4"/>
    <w:rsid w:val="00B90063"/>
    <w:rsid w:val="00BB287E"/>
    <w:rsid w:val="00BC6A42"/>
    <w:rsid w:val="00BD11C8"/>
    <w:rsid w:val="00BE4475"/>
    <w:rsid w:val="00BE62B2"/>
    <w:rsid w:val="00C06A75"/>
    <w:rsid w:val="00C56919"/>
    <w:rsid w:val="00C60844"/>
    <w:rsid w:val="00C87C47"/>
    <w:rsid w:val="00CA2335"/>
    <w:rsid w:val="00CB22CA"/>
    <w:rsid w:val="00CB79E6"/>
    <w:rsid w:val="00CD0650"/>
    <w:rsid w:val="00D053B1"/>
    <w:rsid w:val="00D13450"/>
    <w:rsid w:val="00D15757"/>
    <w:rsid w:val="00D23467"/>
    <w:rsid w:val="00D25237"/>
    <w:rsid w:val="00D51500"/>
    <w:rsid w:val="00D61285"/>
    <w:rsid w:val="00D8325E"/>
    <w:rsid w:val="00D85CF1"/>
    <w:rsid w:val="00DA3B30"/>
    <w:rsid w:val="00DB204C"/>
    <w:rsid w:val="00E5239A"/>
    <w:rsid w:val="00E72A81"/>
    <w:rsid w:val="00E9400D"/>
    <w:rsid w:val="00E94086"/>
    <w:rsid w:val="00E976D6"/>
    <w:rsid w:val="00EA6CA7"/>
    <w:rsid w:val="00ED1CF2"/>
    <w:rsid w:val="00EF6354"/>
    <w:rsid w:val="00F000F0"/>
    <w:rsid w:val="00F12A5D"/>
    <w:rsid w:val="00F23E64"/>
    <w:rsid w:val="00F24A30"/>
    <w:rsid w:val="00F30D29"/>
    <w:rsid w:val="00F357F1"/>
    <w:rsid w:val="00F57EFD"/>
    <w:rsid w:val="00F66146"/>
    <w:rsid w:val="00F71AAA"/>
    <w:rsid w:val="00FC4DB8"/>
    <w:rsid w:val="00FF042C"/>
    <w:rsid w:val="00FF0B99"/>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314C"/>
  <w15:chartTrackingRefBased/>
  <w15:docId w15:val="{2093CE2D-8576-42B8-AEB1-B99A6BB2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3B30"/>
    <w:pPr>
      <w:spacing w:after="0" w:line="240" w:lineRule="auto"/>
    </w:pPr>
    <w:rPr>
      <w:rFonts w:ascii="Calibri" w:hAnsi="Calibri" w:cs="Times New Roman"/>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30"/>
    <w:pPr>
      <w:ind w:left="720"/>
    </w:pPr>
  </w:style>
  <w:style w:type="paragraph" w:styleId="FootnoteText">
    <w:name w:val="footnote text"/>
    <w:basedOn w:val="Normal"/>
    <w:link w:val="FootnoteTextChar"/>
    <w:uiPriority w:val="99"/>
    <w:semiHidden/>
    <w:unhideWhenUsed/>
    <w:rsid w:val="005617A1"/>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5617A1"/>
    <w:rPr>
      <w:sz w:val="20"/>
      <w:szCs w:val="20"/>
      <w:lang w:val="en-US"/>
    </w:rPr>
  </w:style>
  <w:style w:type="character" w:styleId="FootnoteReference">
    <w:name w:val="footnote reference"/>
    <w:basedOn w:val="DefaultParagraphFont"/>
    <w:uiPriority w:val="99"/>
    <w:semiHidden/>
    <w:unhideWhenUsed/>
    <w:rsid w:val="005617A1"/>
    <w:rPr>
      <w:vertAlign w:val="superscript"/>
    </w:rPr>
  </w:style>
  <w:style w:type="character" w:styleId="CommentReference">
    <w:name w:val="annotation reference"/>
    <w:basedOn w:val="DefaultParagraphFont"/>
    <w:uiPriority w:val="99"/>
    <w:semiHidden/>
    <w:unhideWhenUsed/>
    <w:rsid w:val="00753C00"/>
    <w:rPr>
      <w:sz w:val="16"/>
      <w:szCs w:val="16"/>
    </w:rPr>
  </w:style>
  <w:style w:type="paragraph" w:styleId="CommentText">
    <w:name w:val="annotation text"/>
    <w:basedOn w:val="Normal"/>
    <w:link w:val="CommentTextChar"/>
    <w:uiPriority w:val="99"/>
    <w:semiHidden/>
    <w:unhideWhenUsed/>
    <w:rsid w:val="00753C00"/>
    <w:rPr>
      <w:sz w:val="20"/>
      <w:szCs w:val="20"/>
    </w:rPr>
  </w:style>
  <w:style w:type="character" w:customStyle="1" w:styleId="CommentTextChar">
    <w:name w:val="Comment Text Char"/>
    <w:basedOn w:val="DefaultParagraphFont"/>
    <w:link w:val="CommentText"/>
    <w:uiPriority w:val="99"/>
    <w:semiHidden/>
    <w:rsid w:val="00753C00"/>
    <w:rPr>
      <w:rFonts w:ascii="Calibri" w:hAnsi="Calibri" w:cs="Times New Roman"/>
      <w:sz w:val="20"/>
      <w:szCs w:val="20"/>
      <w:lang w:eastAsia="en-029"/>
    </w:rPr>
  </w:style>
  <w:style w:type="paragraph" w:styleId="CommentSubject">
    <w:name w:val="annotation subject"/>
    <w:basedOn w:val="CommentText"/>
    <w:next w:val="CommentText"/>
    <w:link w:val="CommentSubjectChar"/>
    <w:uiPriority w:val="99"/>
    <w:semiHidden/>
    <w:unhideWhenUsed/>
    <w:rsid w:val="00753C00"/>
    <w:rPr>
      <w:b/>
      <w:bCs/>
    </w:rPr>
  </w:style>
  <w:style w:type="character" w:customStyle="1" w:styleId="CommentSubjectChar">
    <w:name w:val="Comment Subject Char"/>
    <w:basedOn w:val="CommentTextChar"/>
    <w:link w:val="CommentSubject"/>
    <w:uiPriority w:val="99"/>
    <w:semiHidden/>
    <w:rsid w:val="00753C00"/>
    <w:rPr>
      <w:rFonts w:ascii="Calibri" w:hAnsi="Calibri" w:cs="Times New Roman"/>
      <w:b/>
      <w:bCs/>
      <w:sz w:val="20"/>
      <w:szCs w:val="20"/>
      <w:lang w:eastAsia="en-029"/>
    </w:rPr>
  </w:style>
  <w:style w:type="paragraph" w:styleId="BalloonText">
    <w:name w:val="Balloon Text"/>
    <w:basedOn w:val="Normal"/>
    <w:link w:val="BalloonTextChar"/>
    <w:uiPriority w:val="99"/>
    <w:semiHidden/>
    <w:unhideWhenUsed/>
    <w:rsid w:val="00753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00"/>
    <w:rPr>
      <w:rFonts w:ascii="Segoe UI" w:hAnsi="Segoe UI" w:cs="Segoe UI"/>
      <w:sz w:val="18"/>
      <w:szCs w:val="18"/>
      <w:lang w:eastAsia="en-029"/>
    </w:rPr>
  </w:style>
  <w:style w:type="paragraph" w:styleId="Header">
    <w:name w:val="header"/>
    <w:aliases w:val="h"/>
    <w:basedOn w:val="Normal"/>
    <w:link w:val="HeaderChar"/>
    <w:unhideWhenUsed/>
    <w:rsid w:val="001B6E30"/>
    <w:pPr>
      <w:tabs>
        <w:tab w:val="center" w:pos="4680"/>
        <w:tab w:val="right" w:pos="9360"/>
      </w:tabs>
    </w:pPr>
  </w:style>
  <w:style w:type="character" w:customStyle="1" w:styleId="HeaderChar">
    <w:name w:val="Header Char"/>
    <w:aliases w:val="h Char"/>
    <w:basedOn w:val="DefaultParagraphFont"/>
    <w:link w:val="Header"/>
    <w:rsid w:val="001B6E30"/>
    <w:rPr>
      <w:rFonts w:ascii="Calibri" w:hAnsi="Calibri" w:cs="Times New Roman"/>
      <w:lang w:eastAsia="en-029"/>
    </w:rPr>
  </w:style>
  <w:style w:type="paragraph" w:styleId="Footer">
    <w:name w:val="footer"/>
    <w:basedOn w:val="Normal"/>
    <w:link w:val="FooterChar"/>
    <w:uiPriority w:val="99"/>
    <w:unhideWhenUsed/>
    <w:rsid w:val="001B6E30"/>
    <w:pPr>
      <w:tabs>
        <w:tab w:val="center" w:pos="4680"/>
        <w:tab w:val="right" w:pos="9360"/>
      </w:tabs>
    </w:pPr>
  </w:style>
  <w:style w:type="character" w:customStyle="1" w:styleId="FooterChar">
    <w:name w:val="Footer Char"/>
    <w:basedOn w:val="DefaultParagraphFont"/>
    <w:link w:val="Footer"/>
    <w:uiPriority w:val="99"/>
    <w:rsid w:val="001B6E30"/>
    <w:rPr>
      <w:rFonts w:ascii="Calibri" w:hAnsi="Calibri" w:cs="Times New Roman"/>
      <w:lang w:eastAsia="en-029"/>
    </w:rPr>
  </w:style>
  <w:style w:type="table" w:styleId="TableGrid">
    <w:name w:val="Table Grid"/>
    <w:basedOn w:val="TableNormal"/>
    <w:uiPriority w:val="39"/>
    <w:rsid w:val="0031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753E"/>
    <w:pPr>
      <w:jc w:val="center"/>
    </w:pPr>
    <w:rPr>
      <w:rFonts w:ascii="Times New Roman" w:eastAsia="Times New Roman" w:hAnsi="Times New Roman"/>
      <w:b/>
      <w:bCs/>
      <w:sz w:val="28"/>
      <w:szCs w:val="24"/>
      <w:lang w:val="en-GB" w:eastAsia="en-US"/>
    </w:rPr>
  </w:style>
  <w:style w:type="character" w:customStyle="1" w:styleId="TitleChar">
    <w:name w:val="Title Char"/>
    <w:basedOn w:val="DefaultParagraphFont"/>
    <w:link w:val="Title"/>
    <w:rsid w:val="003B753E"/>
    <w:rPr>
      <w:rFonts w:ascii="Times New Roman" w:eastAsia="Times New Roman" w:hAnsi="Times New Roman"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437">
      <w:bodyDiv w:val="1"/>
      <w:marLeft w:val="0"/>
      <w:marRight w:val="0"/>
      <w:marTop w:val="0"/>
      <w:marBottom w:val="0"/>
      <w:divBdr>
        <w:top w:val="none" w:sz="0" w:space="0" w:color="auto"/>
        <w:left w:val="none" w:sz="0" w:space="0" w:color="auto"/>
        <w:bottom w:val="none" w:sz="0" w:space="0" w:color="auto"/>
        <w:right w:val="none" w:sz="0" w:space="0" w:color="auto"/>
      </w:divBdr>
    </w:div>
    <w:div w:id="283274767">
      <w:bodyDiv w:val="1"/>
      <w:marLeft w:val="0"/>
      <w:marRight w:val="0"/>
      <w:marTop w:val="0"/>
      <w:marBottom w:val="0"/>
      <w:divBdr>
        <w:top w:val="none" w:sz="0" w:space="0" w:color="auto"/>
        <w:left w:val="none" w:sz="0" w:space="0" w:color="auto"/>
        <w:bottom w:val="none" w:sz="0" w:space="0" w:color="auto"/>
        <w:right w:val="none" w:sz="0" w:space="0" w:color="auto"/>
      </w:divBdr>
    </w:div>
    <w:div w:id="583879350">
      <w:bodyDiv w:val="1"/>
      <w:marLeft w:val="0"/>
      <w:marRight w:val="0"/>
      <w:marTop w:val="0"/>
      <w:marBottom w:val="0"/>
      <w:divBdr>
        <w:top w:val="none" w:sz="0" w:space="0" w:color="auto"/>
        <w:left w:val="none" w:sz="0" w:space="0" w:color="auto"/>
        <w:bottom w:val="none" w:sz="0" w:space="0" w:color="auto"/>
        <w:right w:val="none" w:sz="0" w:space="0" w:color="auto"/>
      </w:divBdr>
    </w:div>
    <w:div w:id="651299191">
      <w:bodyDiv w:val="1"/>
      <w:marLeft w:val="0"/>
      <w:marRight w:val="0"/>
      <w:marTop w:val="0"/>
      <w:marBottom w:val="0"/>
      <w:divBdr>
        <w:top w:val="none" w:sz="0" w:space="0" w:color="auto"/>
        <w:left w:val="none" w:sz="0" w:space="0" w:color="auto"/>
        <w:bottom w:val="none" w:sz="0" w:space="0" w:color="auto"/>
        <w:right w:val="none" w:sz="0" w:space="0" w:color="auto"/>
      </w:divBdr>
    </w:div>
    <w:div w:id="766267044">
      <w:bodyDiv w:val="1"/>
      <w:marLeft w:val="0"/>
      <w:marRight w:val="0"/>
      <w:marTop w:val="0"/>
      <w:marBottom w:val="0"/>
      <w:divBdr>
        <w:top w:val="none" w:sz="0" w:space="0" w:color="auto"/>
        <w:left w:val="none" w:sz="0" w:space="0" w:color="auto"/>
        <w:bottom w:val="none" w:sz="0" w:space="0" w:color="auto"/>
        <w:right w:val="none" w:sz="0" w:space="0" w:color="auto"/>
      </w:divBdr>
    </w:div>
    <w:div w:id="840049105">
      <w:bodyDiv w:val="1"/>
      <w:marLeft w:val="0"/>
      <w:marRight w:val="0"/>
      <w:marTop w:val="0"/>
      <w:marBottom w:val="0"/>
      <w:divBdr>
        <w:top w:val="none" w:sz="0" w:space="0" w:color="auto"/>
        <w:left w:val="none" w:sz="0" w:space="0" w:color="auto"/>
        <w:bottom w:val="none" w:sz="0" w:space="0" w:color="auto"/>
        <w:right w:val="none" w:sz="0" w:space="0" w:color="auto"/>
      </w:divBdr>
    </w:div>
    <w:div w:id="957181761">
      <w:bodyDiv w:val="1"/>
      <w:marLeft w:val="0"/>
      <w:marRight w:val="0"/>
      <w:marTop w:val="0"/>
      <w:marBottom w:val="0"/>
      <w:divBdr>
        <w:top w:val="none" w:sz="0" w:space="0" w:color="auto"/>
        <w:left w:val="none" w:sz="0" w:space="0" w:color="auto"/>
        <w:bottom w:val="none" w:sz="0" w:space="0" w:color="auto"/>
        <w:right w:val="none" w:sz="0" w:space="0" w:color="auto"/>
      </w:divBdr>
    </w:div>
    <w:div w:id="1089161522">
      <w:bodyDiv w:val="1"/>
      <w:marLeft w:val="0"/>
      <w:marRight w:val="0"/>
      <w:marTop w:val="0"/>
      <w:marBottom w:val="0"/>
      <w:divBdr>
        <w:top w:val="none" w:sz="0" w:space="0" w:color="auto"/>
        <w:left w:val="none" w:sz="0" w:space="0" w:color="auto"/>
        <w:bottom w:val="none" w:sz="0" w:space="0" w:color="auto"/>
        <w:right w:val="none" w:sz="0" w:space="0" w:color="auto"/>
      </w:divBdr>
    </w:div>
    <w:div w:id="1125197190">
      <w:bodyDiv w:val="1"/>
      <w:marLeft w:val="0"/>
      <w:marRight w:val="0"/>
      <w:marTop w:val="0"/>
      <w:marBottom w:val="0"/>
      <w:divBdr>
        <w:top w:val="none" w:sz="0" w:space="0" w:color="auto"/>
        <w:left w:val="none" w:sz="0" w:space="0" w:color="auto"/>
        <w:bottom w:val="none" w:sz="0" w:space="0" w:color="auto"/>
        <w:right w:val="none" w:sz="0" w:space="0" w:color="auto"/>
      </w:divBdr>
    </w:div>
    <w:div w:id="1256865321">
      <w:bodyDiv w:val="1"/>
      <w:marLeft w:val="0"/>
      <w:marRight w:val="0"/>
      <w:marTop w:val="0"/>
      <w:marBottom w:val="0"/>
      <w:divBdr>
        <w:top w:val="none" w:sz="0" w:space="0" w:color="auto"/>
        <w:left w:val="none" w:sz="0" w:space="0" w:color="auto"/>
        <w:bottom w:val="none" w:sz="0" w:space="0" w:color="auto"/>
        <w:right w:val="none" w:sz="0" w:space="0" w:color="auto"/>
      </w:divBdr>
    </w:div>
    <w:div w:id="1358893121">
      <w:bodyDiv w:val="1"/>
      <w:marLeft w:val="0"/>
      <w:marRight w:val="0"/>
      <w:marTop w:val="0"/>
      <w:marBottom w:val="0"/>
      <w:divBdr>
        <w:top w:val="none" w:sz="0" w:space="0" w:color="auto"/>
        <w:left w:val="none" w:sz="0" w:space="0" w:color="auto"/>
        <w:bottom w:val="none" w:sz="0" w:space="0" w:color="auto"/>
        <w:right w:val="none" w:sz="0" w:space="0" w:color="auto"/>
      </w:divBdr>
    </w:div>
    <w:div w:id="1360280165">
      <w:bodyDiv w:val="1"/>
      <w:marLeft w:val="0"/>
      <w:marRight w:val="0"/>
      <w:marTop w:val="0"/>
      <w:marBottom w:val="0"/>
      <w:divBdr>
        <w:top w:val="none" w:sz="0" w:space="0" w:color="auto"/>
        <w:left w:val="none" w:sz="0" w:space="0" w:color="auto"/>
        <w:bottom w:val="none" w:sz="0" w:space="0" w:color="auto"/>
        <w:right w:val="none" w:sz="0" w:space="0" w:color="auto"/>
      </w:divBdr>
    </w:div>
    <w:div w:id="1607499333">
      <w:bodyDiv w:val="1"/>
      <w:marLeft w:val="0"/>
      <w:marRight w:val="0"/>
      <w:marTop w:val="0"/>
      <w:marBottom w:val="0"/>
      <w:divBdr>
        <w:top w:val="none" w:sz="0" w:space="0" w:color="auto"/>
        <w:left w:val="none" w:sz="0" w:space="0" w:color="auto"/>
        <w:bottom w:val="none" w:sz="0" w:space="0" w:color="auto"/>
        <w:right w:val="none" w:sz="0" w:space="0" w:color="auto"/>
      </w:divBdr>
    </w:div>
    <w:div w:id="1673293293">
      <w:bodyDiv w:val="1"/>
      <w:marLeft w:val="0"/>
      <w:marRight w:val="0"/>
      <w:marTop w:val="0"/>
      <w:marBottom w:val="0"/>
      <w:divBdr>
        <w:top w:val="none" w:sz="0" w:space="0" w:color="auto"/>
        <w:left w:val="none" w:sz="0" w:space="0" w:color="auto"/>
        <w:bottom w:val="none" w:sz="0" w:space="0" w:color="auto"/>
        <w:right w:val="none" w:sz="0" w:space="0" w:color="auto"/>
      </w:divBdr>
    </w:div>
    <w:div w:id="1686710277">
      <w:bodyDiv w:val="1"/>
      <w:marLeft w:val="0"/>
      <w:marRight w:val="0"/>
      <w:marTop w:val="0"/>
      <w:marBottom w:val="0"/>
      <w:divBdr>
        <w:top w:val="none" w:sz="0" w:space="0" w:color="auto"/>
        <w:left w:val="none" w:sz="0" w:space="0" w:color="auto"/>
        <w:bottom w:val="none" w:sz="0" w:space="0" w:color="auto"/>
        <w:right w:val="none" w:sz="0" w:space="0" w:color="auto"/>
      </w:divBdr>
    </w:div>
    <w:div w:id="2020155797">
      <w:bodyDiv w:val="1"/>
      <w:marLeft w:val="0"/>
      <w:marRight w:val="0"/>
      <w:marTop w:val="0"/>
      <w:marBottom w:val="0"/>
      <w:divBdr>
        <w:top w:val="none" w:sz="0" w:space="0" w:color="auto"/>
        <w:left w:val="none" w:sz="0" w:space="0" w:color="auto"/>
        <w:bottom w:val="none" w:sz="0" w:space="0" w:color="auto"/>
        <w:right w:val="none" w:sz="0" w:space="0" w:color="auto"/>
      </w:divBdr>
    </w:div>
    <w:div w:id="21379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CA8A-D205-46A8-BE75-27988D71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Deryck Omar</dc:creator>
  <cp:keywords/>
  <dc:description/>
  <cp:lastModifiedBy>Tyrone Sutherland</cp:lastModifiedBy>
  <cp:revision>2</cp:revision>
  <cp:lastPrinted>2016-06-13T17:10:00Z</cp:lastPrinted>
  <dcterms:created xsi:type="dcterms:W3CDTF">2016-10-10T00:19:00Z</dcterms:created>
  <dcterms:modified xsi:type="dcterms:W3CDTF">2016-10-10T00:19:00Z</dcterms:modified>
</cp:coreProperties>
</file>